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1"/>
        <w:rPr>
          <w:rFonts w:ascii="inherit" w:hAnsi="inherit" w:cs="Helvetica"/>
          <w:b w:val="false"/>
          <w:b w:val="false"/>
          <w:bCs w:val="false"/>
          <w:color w:val="333333"/>
          <w:sz w:val="36"/>
          <w:szCs w:val="36"/>
        </w:rPr>
      </w:pPr>
      <w:r>
        <w:rPr>
          <w:rFonts w:cs="Helvetica" w:ascii="inherit" w:hAnsi="inherit"/>
          <w:b w:val="false"/>
          <w:bCs w:val="false"/>
          <w:color w:val="333333"/>
          <w:sz w:val="36"/>
          <w:szCs w:val="36"/>
        </w:rPr>
        <w:t>О числе замещённых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>
      <w:pPr>
        <w:pStyle w:val="Normal"/>
        <w:numPr>
          <w:ilvl w:val="0"/>
          <w:numId w:val="0"/>
        </w:numPr>
        <w:outlineLvl w:val="1"/>
        <w:rPr>
          <w:rFonts w:ascii="inherit" w:hAnsi="inherit" w:cs="Helvetica"/>
          <w:b w:val="false"/>
          <w:b w:val="false"/>
          <w:bCs w:val="false"/>
          <w:color w:val="333333"/>
          <w:sz w:val="36"/>
          <w:szCs w:val="36"/>
        </w:rPr>
      </w:pPr>
      <w:r>
        <w:rPr>
          <w:rFonts w:cs="Helvetica" w:ascii="inherit" w:hAnsi="inherit"/>
          <w:b w:val="false"/>
          <w:bCs w:val="false"/>
          <w:color w:val="333333"/>
          <w:sz w:val="36"/>
          <w:szCs w:val="36"/>
        </w:rPr>
      </w:r>
    </w:p>
    <w:p>
      <w:pPr>
        <w:pStyle w:val="Normal"/>
        <w:spacing w:before="0" w:after="150"/>
        <w:rPr>
          <w:rFonts w:ascii="Helvetica" w:hAnsi="Helvetica" w:cs="Helvetica"/>
          <w:b w:val="false"/>
          <w:b w:val="false"/>
          <w:bCs w:val="false"/>
          <w:color w:val="333333"/>
          <w:sz w:val="21"/>
          <w:szCs w:val="21"/>
        </w:rPr>
      </w:pPr>
      <w:r>
        <w:rPr>
          <w:rFonts w:cs="Helvetica" w:ascii="Helvetica" w:hAnsi="Helvetica"/>
          <w:color w:val="333333"/>
          <w:sz w:val="21"/>
          <w:szCs w:val="21"/>
        </w:rPr>
        <w:t>Численность занятых и выручка субъектов малого и среднего предпринимательства – юридических лиц по видам экономической деятельности за 2022 год </w:t>
      </w:r>
      <w:r>
        <w:rPr>
          <w:rFonts w:cs="Helvetica" w:ascii="Helvetica" w:hAnsi="Helvetica"/>
          <w:color w:val="333333"/>
          <w:sz w:val="16"/>
          <w:szCs w:val="16"/>
          <w:vertAlign w:val="superscript"/>
        </w:rPr>
        <w:t>*)</w:t>
      </w:r>
    </w:p>
    <w:tbl>
      <w:tblPr>
        <w:tblW w:w="10450" w:type="dxa"/>
        <w:jc w:val="left"/>
        <w:tblInd w:w="7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tblCellMar>
          <w:top w:w="75" w:type="dxa"/>
          <w:left w:w="67" w:type="dxa"/>
          <w:bottom w:w="75" w:type="dxa"/>
          <w:right w:w="75" w:type="dxa"/>
        </w:tblCellMar>
        <w:tblLook w:firstRow="1" w:noVBand="1" w:lastRow="0" w:firstColumn="1" w:lastColumn="0" w:noHBand="0" w:val="04a0"/>
      </w:tblPr>
      <w:tblGrid>
        <w:gridCol w:w="6279"/>
        <w:gridCol w:w="2693"/>
        <w:gridCol w:w="1478"/>
      </w:tblGrid>
      <w:tr>
        <w:trPr>
          <w:tblHeader w:val="true"/>
        </w:trPr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337AB7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b w:val="false"/>
                <w:bCs w:val="false"/>
                <w:color w:val="FFFFFF"/>
              </w:rPr>
              <w:t> 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337AB7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b w:val="false"/>
                <w:bCs w:val="false"/>
                <w:color w:val="FFFFFF"/>
              </w:rPr>
              <w:t>Средняя численность работников, человек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337AB7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  <w:color w:val="FFFFFF"/>
              </w:rPr>
            </w:pPr>
            <w:r>
              <w:rPr>
                <w:b w:val="false"/>
                <w:bCs w:val="false"/>
                <w:color w:val="FFFFFF"/>
              </w:rPr>
              <w:t>Выручка, млн.руб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/>
              <w:t>Всего по обследуемым видам экономической деятельности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/>
            </w:pPr>
            <w:bookmarkStart w:id="0" w:name="_GoBack"/>
            <w:bookmarkEnd w:id="0"/>
            <w:r>
              <w:rPr>
                <w:b w:val="false"/>
                <w:bCs w:val="false"/>
              </w:rPr>
              <w:t>672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/>
            </w:pPr>
            <w:r>
              <w:rPr>
                <w:b w:val="false"/>
                <w:bCs w:val="false"/>
              </w:rPr>
              <w:t>9684,3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Сельское, лесное хозяйство, охота, рыболовство и рыбоводство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/>
            </w:pPr>
            <w:r>
              <w:rPr>
                <w:b w:val="false"/>
                <w:bCs w:val="false"/>
              </w:rPr>
              <w:t>78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/>
            </w:pPr>
            <w:r>
              <w:rPr>
                <w:b w:val="false"/>
                <w:bCs w:val="false"/>
              </w:rPr>
              <w:t>356,3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Добыча полезных ископаемых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/>
            </w:pPr>
            <w:r>
              <w:rPr>
                <w:b w:val="false"/>
                <w:bCs w:val="false"/>
              </w:rPr>
              <w:t>579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/>
            </w:pPr>
            <w:r>
              <w:rPr>
                <w:b w:val="false"/>
                <w:bCs w:val="false"/>
              </w:rPr>
              <w:t>9328,0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Обрабатывающие производства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Строительство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/>
            </w:pPr>
            <w:r>
              <w:rPr>
                <w:b w:val="false"/>
                <w:bCs w:val="false"/>
              </w:rPr>
              <w:t>15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14,6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Транспортировка и хранение     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Деятельность гостиниц и предприятий общественного питания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Деятельность в области информации и связи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Деятельность финансовая и страховая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Деятельность по операциям с недвижимым имуществом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Деятельность профессиональная, научная и техническая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Образование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Деятельность в области здравоохранения и социальных услуг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F5F5F5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  <w:tr>
        <w:trPr/>
        <w:tc>
          <w:tcPr>
            <w:tcW w:w="627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Предоставление прочих видов услуг</w:t>
            </w:r>
          </w:p>
        </w:tc>
        <w:tc>
          <w:tcPr>
            <w:tcW w:w="2693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  <w:tc>
          <w:tcPr>
            <w:tcW w:w="1478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  <w:insideH w:val="single" w:sz="6" w:space="0" w:color="EEEEEE"/>
              <w:insideV w:val="single" w:sz="6" w:space="0" w:color="EEEEEE"/>
            </w:tcBorders>
            <w:shd w:color="auto" w:fill="auto" w:val="clear"/>
            <w:tcMar>
              <w:left w:w="67" w:type="dxa"/>
            </w:tcMar>
            <w:vAlign w:val="center"/>
          </w:tcPr>
          <w:p>
            <w:pPr>
              <w:pStyle w:val="Normal"/>
              <w:spacing w:lineRule="atLeast" w:line="252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-</w:t>
            </w:r>
          </w:p>
        </w:tc>
      </w:tr>
    </w:tbl>
    <w:p>
      <w:pPr>
        <w:pStyle w:val="Normal"/>
        <w:spacing w:before="0" w:after="150"/>
        <w:rPr>
          <w:rFonts w:ascii="Helvetica" w:hAnsi="Helvetica" w:cs="Helvetica"/>
          <w:b w:val="false"/>
          <w:b w:val="false"/>
          <w:bCs w:val="false"/>
          <w:color w:val="333333"/>
          <w:sz w:val="16"/>
          <w:szCs w:val="16"/>
          <w:vertAlign w:val="superscript"/>
        </w:rPr>
      </w:pPr>
      <w:r>
        <w:rPr>
          <w:rFonts w:cs="Helvetica" w:ascii="Helvetica" w:hAnsi="Helvetica"/>
          <w:b w:val="false"/>
          <w:bCs w:val="false"/>
          <w:color w:val="333333"/>
          <w:sz w:val="16"/>
          <w:szCs w:val="16"/>
          <w:vertAlign w:val="superscript"/>
        </w:rPr>
      </w:r>
    </w:p>
    <w:p>
      <w:pPr>
        <w:pStyle w:val="Normal"/>
        <w:spacing w:before="0" w:after="150"/>
        <w:rPr>
          <w:rFonts w:ascii="Helvetica" w:hAnsi="Helvetica" w:cs="Helvetica"/>
          <w:b w:val="false"/>
          <w:b w:val="false"/>
          <w:bCs w:val="false"/>
          <w:color w:val="333333"/>
          <w:sz w:val="21"/>
          <w:szCs w:val="21"/>
        </w:rPr>
      </w:pPr>
      <w:r>
        <w:rPr>
          <w:rFonts w:cs="Helvetica" w:ascii="Helvetica" w:hAnsi="Helvetica"/>
          <w:b w:val="false"/>
          <w:bCs w:val="false"/>
          <w:color w:val="333333"/>
          <w:sz w:val="21"/>
          <w:szCs w:val="21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inherit">
    <w:charset w:val="cc"/>
    <w:family w:val="roman"/>
    <w:pitch w:val="variable"/>
  </w:font>
  <w:font w:name="Helvetica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0587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LibreOffice/5.0.3.1$Windows_x86 LibreOffice_project/fd8cfc22f7f58033351fcb8a83b92acbadb0749e</Application>
  <Paragraphs>62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2023-10-03T08:43:00Z</dcterms:created>
  <dc:creator>RePack by Diakov</dc:creator>
  <dc:language>ru-RU</dc:language>
  <dcterms:modified xsi:type="dcterms:W3CDTF">2023-10-27T11:53:33Z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