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информация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к отчету</w:t>
      </w:r>
      <w:r>
        <w:rPr>
          <w:rFonts w:ascii="Times New Roman" w:hAnsi="Times New Roman"/>
          <w:sz w:val="28"/>
        </w:rPr>
        <w:t xml:space="preserve"> о ходе реализации муниципальной программы Владимировского сельского поселения «</w:t>
      </w:r>
      <w:r>
        <w:rPr>
          <w:rFonts w:ascii="Times New Roman" w:hAnsi="Times New Roman"/>
          <w:sz w:val="28"/>
          <w:szCs w:val="28"/>
        </w:rPr>
        <w:t>Благоустройство территории и жилищно-коммунальное хозяйство</w:t>
      </w:r>
      <w:r>
        <w:rPr>
          <w:rFonts w:ascii="Times New Roman" w:hAnsi="Times New Roman"/>
          <w:sz w:val="28"/>
        </w:rPr>
        <w:t>» на 2025 год по итогам I полугодия 2025 года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/>
      </w:pPr>
      <w:r>
        <w:rPr/>
        <w:tab/>
        <w:t xml:space="preserve">  </w:t>
      </w:r>
      <w:r>
        <w:rPr>
          <w:rFonts w:ascii="Times New Roman" w:hAnsi="Times New Roman"/>
          <w:sz w:val="28"/>
        </w:rPr>
        <w:t>Муниципальная программа Владимировского сельского поселения «</w:t>
      </w:r>
      <w:r>
        <w:rPr>
          <w:rFonts w:eastAsia="SimSun;宋体" w:cs="Times New Roman" w:ascii="Times New Roman" w:hAnsi="Times New Roman"/>
          <w:bCs/>
          <w:color w:val="auto"/>
          <w:kern w:val="2"/>
          <w:sz w:val="28"/>
          <w:szCs w:val="28"/>
          <w:lang w:val="ru-RU" w:eastAsia="ar-SA" w:bidi="hi-IN"/>
        </w:rPr>
        <w:t>Благоустройство территории и жилищно-коммунальное хозяйство</w:t>
      </w:r>
      <w:r>
        <w:rPr>
          <w:rFonts w:ascii="Times New Roman" w:hAnsi="Times New Roman"/>
          <w:sz w:val="28"/>
        </w:rPr>
        <w:t xml:space="preserve">» (далее – Муниципальная программа) утверждена постановлением Администрации Владимировского сельского поселения от 20.10.2018 № 106. На реализацию муниципальной программы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4 717,9</w:t>
      </w:r>
      <w:r>
        <w:rPr>
          <w:rFonts w:ascii="Times New Roman" w:hAnsi="Times New Roman"/>
          <w:sz w:val="28"/>
        </w:rPr>
        <w:t xml:space="preserve"> тыс. рублей, сводной бюджетной росписью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4 717,9</w:t>
      </w:r>
      <w:r>
        <w:rPr>
          <w:rFonts w:ascii="Times New Roman" w:hAnsi="Times New Roman"/>
          <w:sz w:val="28"/>
        </w:rPr>
        <w:t xml:space="preserve"> тыс. рублей. Фактическое освоение средств по итогам I полугодия 2025 года составило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1 090,6</w:t>
      </w:r>
      <w:r>
        <w:rPr>
          <w:rFonts w:ascii="Times New Roman" w:hAnsi="Times New Roman"/>
          <w:sz w:val="28"/>
        </w:rPr>
        <w:t xml:space="preserve"> тыс. рублей </w:t>
      </w:r>
      <w:r>
        <w:rPr/>
        <w:br/>
      </w:r>
      <w:r>
        <w:rPr>
          <w:rFonts w:ascii="Times New Roman" w:hAnsi="Times New Roman"/>
          <w:sz w:val="28"/>
        </w:rPr>
        <w:t xml:space="preserve">или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23,12 </w:t>
      </w:r>
      <w:r>
        <w:rPr>
          <w:rFonts w:ascii="Times New Roman" w:hAnsi="Times New Roman"/>
          <w:sz w:val="28"/>
        </w:rPr>
        <w:t>процентов от предусмотренного сводной бюджетной росписью объема.</w:t>
      </w:r>
    </w:p>
    <w:p>
      <w:pPr>
        <w:pStyle w:val="Normal"/>
        <w:spacing w:lineRule="auto" w:line="240" w:before="0" w:after="0"/>
        <w:jc w:val="both"/>
        <w:rPr/>
      </w:pPr>
      <w:r>
        <w:rPr/>
        <w:tab/>
        <w:t xml:space="preserve">        </w:t>
      </w:r>
      <w:r>
        <w:rPr>
          <w:rFonts w:ascii="Times New Roman" w:hAnsi="Times New Roman"/>
          <w:sz w:val="28"/>
        </w:rPr>
        <w:t xml:space="preserve">В рамках муниципальной программы в 2025 году предусмотрено достижение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sz w:val="28"/>
        </w:rPr>
        <w:t xml:space="preserve"> показателя муниципальной программы, достижение котор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ого</w:t>
      </w:r>
      <w:r>
        <w:rPr>
          <w:rFonts w:ascii="Times New Roman" w:hAnsi="Times New Roman"/>
          <w:sz w:val="28"/>
        </w:rPr>
        <w:t xml:space="preserve"> запланировано на конец 2025 года.</w:t>
      </w:r>
    </w:p>
    <w:p>
      <w:pPr>
        <w:pStyle w:val="Normal"/>
        <w:spacing w:lineRule="auto" w:line="240" w:before="0" w:after="0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>Муниципальная программа включает в себя следующие структурные элементы: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Комплекс процессных мероприятий – </w:t>
      </w:r>
      <w:r>
        <w:rPr>
          <w:rFonts w:ascii="Times New Roman" w:hAnsi="Times New Roman"/>
          <w:i w:val="false"/>
          <w:iCs w:val="false"/>
          <w:sz w:val="28"/>
          <w:szCs w:val="28"/>
        </w:rPr>
        <w:t>«</w:t>
      </w:r>
      <w:r>
        <w:rPr>
          <w:rStyle w:val="11"/>
          <w:rFonts w:eastAsia="Times New Roman" w:cs="Times New Roman" w:ascii="Times New Roman" w:hAnsi="Times New Roman"/>
          <w:i w:val="false"/>
          <w:iCs w:val="false"/>
          <w:color w:val="000000"/>
          <w:kern w:val="0"/>
          <w:sz w:val="28"/>
          <w:szCs w:val="28"/>
          <w:lang w:val="ru-RU" w:eastAsia="ru-RU" w:bidi="ar-SA"/>
        </w:rPr>
        <w:t>Развитие жилищно-коммунального хозяйства Владимировского сельского поселения</w:t>
      </w:r>
      <w:r>
        <w:rPr>
          <w:rFonts w:ascii="Times New Roman" w:hAnsi="Times New Roman"/>
          <w:i w:val="false"/>
          <w:iCs w:val="false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 (далее – КПМ 1);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Комплекс процессных мероприятий – </w:t>
      </w:r>
      <w:r>
        <w:rPr>
          <w:rFonts w:ascii="Times New Roman" w:hAnsi="Times New Roman"/>
          <w:i w:val="false"/>
          <w:iCs w:val="false"/>
          <w:sz w:val="28"/>
          <w:szCs w:val="28"/>
        </w:rPr>
        <w:t>«</w:t>
      </w:r>
      <w:r>
        <w:rPr>
          <w:rStyle w:val="11"/>
          <w:rFonts w:cs="Times New Roman" w:ascii="Times New Roman" w:hAnsi="Times New Roman"/>
          <w:i w:val="false"/>
          <w:iCs w:val="false"/>
          <w:color w:val="000000"/>
          <w:sz w:val="28"/>
          <w:szCs w:val="28"/>
          <w:lang w:eastAsia="ru-RU"/>
        </w:rPr>
        <w:t>Благоустройство территории Владимировского сельского поселения</w:t>
      </w:r>
      <w:r>
        <w:rPr>
          <w:rFonts w:ascii="Times New Roman" w:hAnsi="Times New Roman"/>
          <w:i w:val="false"/>
          <w:iCs w:val="false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 (далее – КПМ 2).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Единый аналитический план реализации муниципальной программы </w:t>
      </w:r>
      <w:r>
        <w:rPr/>
        <w:br/>
      </w:r>
      <w:r>
        <w:rPr>
          <w:rFonts w:ascii="Times New Roman" w:hAnsi="Times New Roman"/>
          <w:sz w:val="28"/>
        </w:rPr>
        <w:t xml:space="preserve">на 2025 год (далее – План) утвержден распоряжением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Администрации Владимировского сельского поселения </w:t>
      </w:r>
      <w:r>
        <w:rPr>
          <w:rFonts w:ascii="Times New Roman" w:hAnsi="Times New Roman"/>
          <w:sz w:val="28"/>
        </w:rPr>
        <w:t xml:space="preserve">от 23.12.2024 №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22</w:t>
      </w:r>
      <w:r>
        <w:rPr>
          <w:rFonts w:ascii="Times New Roman" w:hAnsi="Times New Roman"/>
          <w:sz w:val="28"/>
        </w:rPr>
        <w:t>.</w:t>
      </w:r>
    </w:p>
    <w:p>
      <w:pPr>
        <w:pStyle w:val="Normal"/>
        <w:widowControl w:val="false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На реализацию</w:t>
      </w:r>
      <w:r>
        <w:rPr>
          <w:rFonts w:ascii="Times New Roman" w:hAnsi="Times New Roman"/>
          <w:b w:val="false"/>
          <w:sz w:val="28"/>
        </w:rPr>
        <w:t xml:space="preserve"> КПМ 1</w:t>
      </w:r>
      <w:r>
        <w:rPr>
          <w:rFonts w:ascii="Times New Roman" w:hAnsi="Times New Roman"/>
          <w:sz w:val="28"/>
        </w:rPr>
        <w:t xml:space="preserve"> в 2025 году муниципальной программой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682,7</w:t>
      </w:r>
      <w:r>
        <w:rPr>
          <w:rFonts w:ascii="Times New Roman" w:hAnsi="Times New Roman"/>
          <w:sz w:val="28"/>
        </w:rPr>
        <w:t xml:space="preserve"> тыс. рублей, сводной бюджетной росписью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682,7</w:t>
      </w:r>
      <w:r>
        <w:rPr>
          <w:rFonts w:ascii="Times New Roman" w:hAnsi="Times New Roman"/>
          <w:sz w:val="28"/>
        </w:rPr>
        <w:t xml:space="preserve"> тыс. рублей. Фактическое освоение средств 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составило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75,2</w:t>
      </w:r>
      <w:r>
        <w:rPr>
          <w:rFonts w:ascii="Times New Roman" w:hAnsi="Times New Roman"/>
          <w:sz w:val="28"/>
        </w:rPr>
        <w:t xml:space="preserve"> тыс. рублей или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11,02</w:t>
      </w:r>
      <w:r>
        <w:rPr>
          <w:rFonts w:ascii="Times New Roman" w:hAnsi="Times New Roman"/>
          <w:sz w:val="28"/>
        </w:rPr>
        <w:t xml:space="preserve"> процентов от предусмотренного сводной бюджетной росписью объема.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В рамках КПМ 1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sz w:val="28"/>
        </w:rPr>
        <w:t xml:space="preserve"> показател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я</w:t>
      </w:r>
      <w:r>
        <w:rPr>
          <w:rFonts w:ascii="Times New Roman" w:hAnsi="Times New Roman"/>
          <w:sz w:val="28"/>
        </w:rPr>
        <w:t>, достижение котор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ого</w:t>
      </w:r>
      <w:r>
        <w:rPr>
          <w:rFonts w:ascii="Times New Roman" w:hAnsi="Times New Roman"/>
          <w:sz w:val="28"/>
        </w:rPr>
        <w:t xml:space="preserve"> запланировано на конец 2025 года.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В рамках КПМ 1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е</w:t>
      </w:r>
      <w:r>
        <w:rPr>
          <w:rFonts w:ascii="Times New Roman" w:hAnsi="Times New Roman"/>
          <w:sz w:val="28"/>
        </w:rPr>
        <w:t xml:space="preserve"> (результат), исполнение которых будет осуществлено в срок до 31.12.2025.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Достижение задач КПМ 1 оценивается на основании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контрольных точ</w:t>
      </w:r>
      <w:r>
        <w:rPr>
          <w:rFonts w:ascii="Times New Roman" w:hAnsi="Times New Roman"/>
          <w:sz w:val="28"/>
        </w:rPr>
        <w:t>ки</w:t>
      </w:r>
      <w:r>
        <w:rPr>
          <w:rFonts w:ascii="Times New Roman" w:hAnsi="Times New Roman"/>
          <w:sz w:val="28"/>
        </w:rPr>
        <w:t>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достигнуты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 </w:t>
      </w:r>
      <w:r>
        <w:rPr>
          <w:rFonts w:ascii="Times New Roman" w:hAnsi="Times New Roman"/>
          <w:sz w:val="28"/>
        </w:rPr>
        <w:t>контрольн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ые</w:t>
      </w:r>
      <w:r>
        <w:rPr>
          <w:rFonts w:ascii="Times New Roman" w:hAnsi="Times New Roman"/>
          <w:sz w:val="28"/>
        </w:rPr>
        <w:t xml:space="preserve"> точка, из них: ранее запланированного срока – </w:t>
      </w:r>
      <w:r>
        <w:rPr>
          <w:rFonts w:ascii="Times New Roman" w:hAnsi="Times New Roman"/>
          <w:sz w:val="28"/>
        </w:rPr>
        <w:t>2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Ранее запланированного срока достигнуты следующие контрольные точки: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закупки включены в план-график закупок, идентификационный код закупок: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b w:val="false"/>
          <w:bCs w:val="false"/>
          <w:sz w:val="28"/>
          <w:szCs w:val="28"/>
        </w:rPr>
        <w:t>253614855589461480100100010000000244</w:t>
      </w:r>
      <w:r>
        <w:rPr>
          <w:rFonts w:ascii="Times New Roman" w:hAnsi="Times New Roman"/>
          <w:sz w:val="28"/>
        </w:rPr>
        <w:t xml:space="preserve">  (контрольная точка 1.1);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произведена уплата расходов за услуги по аварийному обслуживанию и ремонту объектов газового оборудования платежное поручение №515678 от 03.04.2025, по</w:t>
      </w:r>
      <w:r>
        <w:rPr>
          <w:rFonts w:cs="Times New Roman" w:ascii="Times New Roman" w:hAnsi="Times New Roman"/>
          <w:sz w:val="28"/>
        </w:rPr>
        <w:t xml:space="preserve"> проведению проверки достоверности определения сметной стоимости платежное поручение №33073 от 26.06.2025 (контрольная точка 1.2)</w:t>
      </w:r>
      <w:r>
        <w:rPr>
          <w:rFonts w:ascii="Times New Roman" w:hAnsi="Times New Roman"/>
          <w:sz w:val="28"/>
        </w:rPr>
        <w:t>.</w:t>
      </w:r>
    </w:p>
    <w:p>
      <w:pPr>
        <w:pStyle w:val="Normal"/>
        <w:widowControl w:val="false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На реализацию</w:t>
      </w:r>
      <w:r>
        <w:rPr>
          <w:rFonts w:ascii="Times New Roman" w:hAnsi="Times New Roman"/>
          <w:b w:val="false"/>
          <w:sz w:val="28"/>
        </w:rPr>
        <w:t xml:space="preserve"> КПМ </w:t>
      </w:r>
      <w:r>
        <w:rPr>
          <w:rFonts w:eastAsia="NSimSun" w:cs="Mangal" w:ascii="Times New Roman" w:hAnsi="Times New Roman"/>
          <w:b w:val="false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в 2025 году муниципальной программой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4 025,2</w:t>
      </w:r>
      <w:r>
        <w:rPr>
          <w:rFonts w:ascii="Times New Roman" w:hAnsi="Times New Roman"/>
          <w:sz w:val="28"/>
        </w:rPr>
        <w:t xml:space="preserve"> тыс. рублей, сводной бюджетной росписью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4 025,2</w:t>
      </w:r>
      <w:r>
        <w:rPr>
          <w:rFonts w:ascii="Times New Roman" w:hAnsi="Times New Roman"/>
          <w:sz w:val="28"/>
        </w:rPr>
        <w:t xml:space="preserve"> тыс. рублей. Фактическое освоение средств 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составило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1 015,5 </w:t>
      </w:r>
      <w:r>
        <w:rPr>
          <w:rFonts w:ascii="Times New Roman" w:hAnsi="Times New Roman"/>
          <w:sz w:val="28"/>
        </w:rPr>
        <w:t xml:space="preserve">тыс. рублей или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25,23</w:t>
      </w:r>
      <w:r>
        <w:rPr>
          <w:rFonts w:ascii="Times New Roman" w:hAnsi="Times New Roman"/>
          <w:sz w:val="28"/>
        </w:rPr>
        <w:t xml:space="preserve"> процентов от предусмотренного сводной бюджетной росписью объема.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В рамках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в 2025 году предусмотрен 1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 </w:t>
      </w:r>
      <w:r>
        <w:rPr>
          <w:rFonts w:ascii="Times New Roman" w:hAnsi="Times New Roman"/>
          <w:sz w:val="28"/>
        </w:rPr>
        <w:t>показател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ь</w:t>
      </w:r>
      <w:r>
        <w:rPr>
          <w:rFonts w:ascii="Times New Roman" w:hAnsi="Times New Roman"/>
          <w:sz w:val="28"/>
        </w:rPr>
        <w:t>, достижение котор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ого</w:t>
      </w:r>
      <w:r>
        <w:rPr>
          <w:rFonts w:ascii="Times New Roman" w:hAnsi="Times New Roman"/>
          <w:sz w:val="28"/>
        </w:rPr>
        <w:t xml:space="preserve"> запланировано на конец 2025 года.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В рамках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я</w:t>
      </w:r>
      <w:r>
        <w:rPr>
          <w:rFonts w:ascii="Times New Roman" w:hAnsi="Times New Roman"/>
          <w:sz w:val="28"/>
        </w:rPr>
        <w:t xml:space="preserve"> (результата), исполнение которых будет осуществлено в срок до 31.12.2025.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Достижение задач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оценивается на основании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12</w:t>
      </w:r>
      <w:r>
        <w:rPr>
          <w:rFonts w:ascii="Times New Roman" w:hAnsi="Times New Roman"/>
          <w:sz w:val="28"/>
        </w:rPr>
        <w:t xml:space="preserve"> контрольных точек.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достигнуты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10 </w:t>
      </w:r>
      <w:r>
        <w:rPr>
          <w:rFonts w:ascii="Times New Roman" w:hAnsi="Times New Roman"/>
          <w:sz w:val="28"/>
        </w:rPr>
        <w:t>контрольн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ых</w:t>
      </w:r>
      <w:r>
        <w:rPr>
          <w:rFonts w:ascii="Times New Roman" w:hAnsi="Times New Roman"/>
          <w:sz w:val="28"/>
        </w:rPr>
        <w:t xml:space="preserve"> точ</w:t>
      </w:r>
      <w:r>
        <w:rPr>
          <w:rFonts w:ascii="Times New Roman" w:hAnsi="Times New Roman"/>
          <w:sz w:val="28"/>
        </w:rPr>
        <w:t>ек</w:t>
      </w:r>
      <w:r>
        <w:rPr>
          <w:rFonts w:ascii="Times New Roman" w:hAnsi="Times New Roman"/>
          <w:sz w:val="28"/>
        </w:rPr>
        <w:t xml:space="preserve">, из них: ранее запланированного срока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10</w:t>
      </w:r>
      <w:r>
        <w:rPr>
          <w:rFonts w:ascii="Times New Roman" w:hAnsi="Times New Roman"/>
          <w:sz w:val="28"/>
        </w:rPr>
        <w:t>.</w:t>
      </w:r>
    </w:p>
    <w:p>
      <w:pPr>
        <w:pStyle w:val="Normal"/>
        <w:tabs>
          <w:tab w:val="clear" w:pos="720"/>
          <w:tab w:val="left" w:pos="1134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Ранее запланированного срока достигнуты следующие контрольные точки: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закупки включены в план-график закупок, идентификационный код закупок: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/>
      </w:pPr>
      <w:r>
        <w:rPr>
          <w:rFonts w:ascii="Times New Roman" w:hAnsi="Times New Roman"/>
          <w:b w:val="false"/>
          <w:bCs w:val="false"/>
          <w:sz w:val="28"/>
          <w:szCs w:val="28"/>
        </w:rPr>
        <w:t>253614855589461480100100010000000244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/>
      </w:pPr>
      <w:r>
        <w:rPr>
          <w:rFonts w:ascii="Times New Roman" w:hAnsi="Times New Roman"/>
          <w:b w:val="false"/>
          <w:bCs w:val="false"/>
          <w:sz w:val="28"/>
          <w:szCs w:val="28"/>
        </w:rPr>
        <w:t>253614855589461480100100040003512247</w:t>
      </w:r>
      <w:r>
        <w:rPr>
          <w:rFonts w:ascii="Times New Roman" w:hAnsi="Times New Roman"/>
          <w:sz w:val="28"/>
        </w:rPr>
        <w:t xml:space="preserve"> 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253614855589461480100100050004299244 (контрольная точка 1.1);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заключены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муниципальные</w:t>
      </w:r>
      <w:r>
        <w:rPr>
          <w:rFonts w:ascii="Times New Roman" w:hAnsi="Times New Roman"/>
          <w:sz w:val="28"/>
          <w:szCs w:val="28"/>
        </w:rPr>
        <w:t xml:space="preserve"> контракты от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09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.2025 № </w:t>
      </w:r>
      <w:r>
        <w:rPr>
          <w:rFonts w:ascii="Times New Roman" w:hAnsi="Times New Roman"/>
          <w:sz w:val="28"/>
          <w:szCs w:val="28"/>
        </w:rPr>
        <w:t>61270202081</w:t>
      </w:r>
      <w:r>
        <w:rPr>
          <w:rFonts w:ascii="Times New Roman" w:hAnsi="Times New Roman"/>
          <w:sz w:val="28"/>
          <w:szCs w:val="28"/>
        </w:rPr>
        <w:t>, 1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.2025 №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10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на </w:t>
      </w:r>
      <w:r>
        <w:rPr>
          <w:rFonts w:eastAsia="NSimSun" w:cs="Times New Roman" w:ascii="Times New Roman" w:hAnsi="Times New Roman"/>
          <w:color w:val="000000"/>
          <w:spacing w:val="0"/>
          <w:kern w:val="0"/>
          <w:sz w:val="28"/>
          <w:szCs w:val="28"/>
          <w:lang w:val="ru-RU" w:eastAsia="ru-RU" w:bidi="hi-IN"/>
        </w:rPr>
        <w:t>мероприятия по оплате и содержанию уличного освещения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(контрольная точка 1.2);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   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сведения 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муниципальном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контракте внесены в реестр контрактов, заключенных заказчиками по результатам закупок (контрольная точка 1.3);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    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произведена оплата по муниципальным контрактам, платежные поручения №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284229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от 1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7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.0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1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.2025, №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311432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от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20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.0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1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.2025,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№479783 от 05.02.2025, №683447 от 14.02.2025, №683448 от 14.02.2025, №896670 от 04.03.2025, №255012 от 14.03.2025, №251746 от 14.03.2025, №451524 от 28.03.2025, №506848 от 03.04.2025,  №749135 от 14.04.2025, №764139 от 15.04.2025, №114625 от 06.05.2025, №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270793 от 14.05.2025, №291734 от 15.05.2025, №535548 от 03.06.2025, №800022 от 17.06.2025, №794335 от 17.06.2025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(контрольная точка 1.4);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  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состоялся весенний месячник чистоты на территории Владимировского сельского поселения (контрольная точка 2.1);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       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состоялся весенний День древонасаждении на территории Владимировского сельского поселения (контрольная точка 2.2);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закупки включены в план-график закупок, идентификационный код закупок: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/>
      </w:pPr>
      <w:r>
        <w:rPr>
          <w:rFonts w:ascii="Times New Roman" w:hAnsi="Times New Roman"/>
          <w:b w:val="false"/>
          <w:bCs w:val="false"/>
          <w:sz w:val="28"/>
          <w:szCs w:val="28"/>
        </w:rPr>
        <w:t>253614855589461480100100010000000244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253614855589461480100100050004299244 (контрольная точка 2.5);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/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заключены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муниципальные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контракты от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28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.0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3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.2025 №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12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,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28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.03.2025 №1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3, 08.04.2025 №14,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08.04.2025 №15, 09.04.2025 №16, 05.05.2025 №20, 07.05.2025 №21, 19.05.2025 №31, 02.06.2025 №25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на </w:t>
      </w:r>
      <w:r>
        <w:rPr>
          <w:rFonts w:eastAsia="NSimSun" w:cs="Times New Roman" w:ascii="Times New Roman" w:hAnsi="Times New Roman"/>
          <w:color w:val="000000"/>
          <w:spacing w:val="0"/>
          <w:kern w:val="0"/>
          <w:sz w:val="28"/>
          <w:szCs w:val="28"/>
          <w:lang w:val="ru-RU" w:eastAsia="ru-RU" w:bidi="hi-IN"/>
        </w:rPr>
        <w:t xml:space="preserve">мероприятия по </w:t>
      </w:r>
      <w:r>
        <w:rPr>
          <w:rFonts w:eastAsia="NSimSun" w:cs="Times New Roman" w:ascii="Times New Roman" w:hAnsi="Times New Roman"/>
          <w:color w:val="000000"/>
          <w:spacing w:val="0"/>
          <w:kern w:val="0"/>
          <w:sz w:val="28"/>
          <w:szCs w:val="28"/>
          <w:lang w:val="ru-RU" w:eastAsia="ru-RU" w:bidi="hi-IN"/>
        </w:rPr>
        <w:t>благоустройству территории поселения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(контрольная точка 2.6);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сведения 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муниципальном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контракте внесены в реестр контрактов, заключенных заказчиками по результатам закупок (контрольная точка 2.7);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произведена оплата по муниципальным контрактам, платежные поручения №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687631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от 1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0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.0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4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.2025, №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291735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от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15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.0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5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.2025, 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№350097 от 19.05.2025, №350096 от 19.05.2025, №518248 от 30.05.2025, №518249 от 30.05.2025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(контрольная точка 2.8)</w:t>
      </w:r>
      <w:r>
        <w:rPr>
          <w:rFonts w:ascii="Times New Roman" w:hAnsi="Times New Roman"/>
          <w:sz w:val="28"/>
        </w:rPr>
        <w:t>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</w:rPr>
        <w:t xml:space="preserve"> </w:t>
      </w:r>
      <w:r>
        <w:rPr/>
        <w:tab/>
      </w:r>
      <w:r>
        <w:rPr>
          <w:rFonts w:ascii="Times New Roman" w:hAnsi="Times New Roman"/>
          <w:sz w:val="28"/>
        </w:rPr>
        <w:t>В ходе анализа исполнения Плана муниципальной программы</w:t>
      </w:r>
      <w:r>
        <w:rPr/>
        <w:t xml:space="preserve"> </w:t>
        <w:br/>
      </w:r>
      <w:r>
        <w:rPr>
          <w:rFonts w:ascii="Times New Roman" w:hAnsi="Times New Roman"/>
          <w:sz w:val="28"/>
        </w:rPr>
        <w:t xml:space="preserve">на 2025 год 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не установлено несоблюдение сроков исполнения контрольных точек и мероприятий (результатов).</w:t>
      </w:r>
    </w:p>
    <w:p>
      <w:pPr>
        <w:pStyle w:val="Normal"/>
        <w:spacing w:lineRule="auto" w:line="240" w:before="0" w:after="0"/>
        <w:jc w:val="both"/>
        <w:rPr/>
      </w:pPr>
      <w:r>
        <w:rPr/>
        <w:tab/>
        <w:t xml:space="preserve">    </w:t>
      </w:r>
      <w:r>
        <w:rPr>
          <w:rFonts w:ascii="Times New Roman" w:hAnsi="Times New Roman"/>
          <w:sz w:val="28"/>
        </w:rPr>
        <w:t xml:space="preserve">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риски неисполнения мероприятий (результатов), недостижения плановых значений показателей и контрольных точек муниципальной программы отсутствуют.</w:t>
      </w:r>
    </w:p>
    <w:sectPr>
      <w:headerReference w:type="default" r:id="rId2"/>
      <w:type w:val="nextPage"/>
      <w:pgSz w:w="11906" w:h="16838"/>
      <w:pgMar w:left="1304" w:right="737" w:header="720" w:top="1134" w:footer="0" w:bottom="1134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Style15"/>
      <w:jc w:val="center"/>
      <w:rPr/>
    </w:pPr>
    <w:r>
      <w:rPr/>
      <mc:AlternateContent>
        <mc:Choice Requires="wps">
          <w:drawing>
            <wp:anchor behindDoc="1" distT="0" distB="0" distL="114935" distR="114935" simplePos="0" locked="0" layoutInCell="1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3175</wp:posOffset>
              </wp:positionV>
              <wp:extent cx="1273175" cy="386080"/>
              <wp:effectExtent l="0" t="0" r="0" b="0"/>
              <wp:wrapSquare wrapText="bothSides"/>
              <wp:docPr id="1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2600" cy="385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45720" rIns="45720" anchor="ctr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stroked="f" style="position:absolute;margin-left:196.5pt;margin-top:0.25pt;width:100.15pt;height:30.3pt;mso-position-horizontal:center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NSimSun" w:cs="Mangal"/>
        <w:color w:val="000000"/>
        <w:sz w:val="20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1">
    <w:name w:val="Heading 1"/>
    <w:next w:val="Normal"/>
    <w:qFormat/>
    <w:pPr>
      <w:widowControl/>
      <w:suppressAutoHyphens w:val="true"/>
      <w:overflowPunct w:val="false"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NSimSun" w:cs="Mangal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qFormat/>
    <w:pPr>
      <w:widowControl/>
      <w:suppressAutoHyphens w:val="true"/>
      <w:overflowPunct w:val="fals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Mang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qFormat/>
    <w:pPr>
      <w:widowControl/>
      <w:suppressAutoHyphens w:val="true"/>
      <w:overflowPunct w:val="fals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NSimSun" w:cs="Mangal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qFormat/>
    <w:pPr>
      <w:widowControl/>
      <w:suppressAutoHyphens w:val="true"/>
      <w:overflowPunct w:val="fals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NSimSun" w:cs="Mangal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qFormat/>
    <w:pPr>
      <w:widowControl/>
      <w:suppressAutoHyphens w:val="true"/>
      <w:overflowPunct w:val="fals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NSimSun" w:cs="Mangal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Endnote">
    <w:name w:val="Endnote"/>
    <w:qFormat/>
    <w:rPr>
      <w:rFonts w:ascii="XO Thames" w:hAnsi="XO Thames"/>
      <w:sz w:val="22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Style9">
    <w:name w:val="Интернет-ссылка"/>
    <w:rPr>
      <w:color w:val="0000FF"/>
      <w:u w:val="single"/>
    </w:rPr>
  </w:style>
  <w:style w:type="character" w:styleId="Footnote">
    <w:name w:val="Footnote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8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character" w:styleId="11">
    <w:name w:val="Обычный1"/>
    <w:qFormat/>
    <w:rPr/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Mang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Mangal"/>
    </w:rPr>
  </w:style>
  <w:style w:type="paragraph" w:styleId="21">
    <w:name w:val="TOC 2"/>
    <w:next w:val="Normal"/>
    <w:pPr>
      <w:widowControl/>
      <w:suppressAutoHyphens w:val="true"/>
      <w:overflowPunct w:val="fals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pPr>
      <w:widowControl/>
      <w:suppressAutoHyphens w:val="true"/>
      <w:overflowPunct w:val="fals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pPr>
      <w:widowControl/>
      <w:suppressAutoHyphens w:val="true"/>
      <w:overflowPunct w:val="fals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pPr>
      <w:widowControl/>
      <w:suppressAutoHyphens w:val="true"/>
      <w:overflowPunct w:val="fals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"/>
    <w:qFormat/>
    <w:pPr>
      <w:widowControl/>
      <w:suppressAutoHyphens w:val="true"/>
      <w:overflowPunct w:val="fals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Mangal"/>
      <w:color w:val="000000"/>
      <w:spacing w:val="0"/>
      <w:kern w:val="0"/>
      <w:sz w:val="22"/>
      <w:szCs w:val="20"/>
      <w:lang w:val="ru-RU" w:eastAsia="zh-CN" w:bidi="hi-IN"/>
    </w:rPr>
  </w:style>
  <w:style w:type="paragraph" w:styleId="31">
    <w:name w:val="TOC 3"/>
    <w:next w:val="Normal"/>
    <w:pPr>
      <w:widowControl/>
      <w:suppressAutoHyphens w:val="true"/>
      <w:overflowPunct w:val="fals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Hyperlink"/>
    <w:qFormat/>
    <w:pPr>
      <w:widowControl/>
      <w:suppressAutoHyphens w:val="true"/>
      <w:overflowPunct w:val="fals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Mangal"/>
      <w:color w:val="0000FF"/>
      <w:spacing w:val="0"/>
      <w:kern w:val="0"/>
      <w:sz w:val="28"/>
      <w:szCs w:val="20"/>
      <w:u w:val="single"/>
      <w:lang w:val="ru-RU" w:eastAsia="zh-CN" w:bidi="hi-IN"/>
    </w:rPr>
  </w:style>
  <w:style w:type="paragraph" w:styleId="Footnote1">
    <w:name w:val="Footnote"/>
    <w:qFormat/>
    <w:pPr>
      <w:widowControl/>
      <w:suppressAutoHyphens w:val="true"/>
      <w:overflowPunct w:val="fals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Mangal"/>
      <w:color w:val="000000"/>
      <w:spacing w:val="0"/>
      <w:kern w:val="0"/>
      <w:sz w:val="22"/>
      <w:szCs w:val="20"/>
      <w:lang w:val="ru-RU" w:eastAsia="zh-CN" w:bidi="hi-IN"/>
    </w:rPr>
  </w:style>
  <w:style w:type="paragraph" w:styleId="12">
    <w:name w:val="TOC 1"/>
    <w:next w:val="Normal"/>
    <w:pPr>
      <w:widowControl/>
      <w:suppressAutoHyphens w:val="true"/>
      <w:overflowPunct w:val="fals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Mang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Верхний и нижний колонтитулы"/>
    <w:qFormat/>
    <w:pPr>
      <w:widowControl/>
      <w:suppressAutoHyphens w:val="true"/>
      <w:overflowPunct w:val="fals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pPr>
      <w:widowControl/>
      <w:suppressAutoHyphens w:val="true"/>
      <w:overflowPunct w:val="fals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pPr>
      <w:widowControl/>
      <w:suppressAutoHyphens w:val="true"/>
      <w:overflowPunct w:val="fals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pPr>
      <w:widowControl/>
      <w:suppressAutoHyphens w:val="true"/>
      <w:overflowPunct w:val="fals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Subtitle"/>
    <w:next w:val="Normal"/>
    <w:qFormat/>
    <w:pPr>
      <w:widowControl/>
      <w:suppressAutoHyphens w:val="true"/>
      <w:overflowPunct w:val="fals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Mangal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7">
    <w:name w:val="Title"/>
    <w:next w:val="Normal"/>
    <w:qFormat/>
    <w:pPr>
      <w:widowControl/>
      <w:suppressAutoHyphens w:val="true"/>
      <w:overflowPunct w:val="fals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NSimSun" w:cs="Mangal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tyle18">
    <w:name w:val="Header"/>
    <w:basedOn w:val="Style15"/>
    <w:pPr/>
    <w:rPr/>
  </w:style>
  <w:style w:type="paragraph" w:styleId="Style19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Application>LibreOffice/6.4.5.2$Windows_x86 LibreOffice_project/a726b36747cf2001e06b58ad5db1aa3a9a1872d6</Application>
  <Pages>3</Pages>
  <Words>705</Words>
  <Characters>5112</Characters>
  <CharactersWithSpaces>5858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2025-07-10T15:42:49Z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