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Пояснительная  информация к отчету</w:t>
      </w:r>
      <w:r>
        <w:rPr>
          <w:rFonts w:ascii="Times New Roman" w:hAnsi="Times New Roman"/>
          <w:sz w:val="28"/>
        </w:rPr>
        <w:t xml:space="preserve"> о ходе реализации муниципальной программы Владимировского сельского поселения «</w:t>
      </w:r>
      <w:r>
        <w:rPr>
          <w:rFonts w:eastAsia="SimSun;宋体" w:cs="Times New Roman" w:ascii="Times New Roman" w:hAnsi="Times New Roman"/>
          <w:bCs/>
          <w:color w:val="auto"/>
          <w:kern w:val="2"/>
          <w:sz w:val="28"/>
          <w:szCs w:val="28"/>
          <w:lang w:val="ru-RU" w:eastAsia="ar-SA" w:bidi="hi-IN"/>
        </w:rPr>
        <w:t>Обеспечение пожарной безопасности и безопасности людей на водных объектах, профилактика терроризма и экстремизма</w:t>
      </w:r>
      <w:r>
        <w:rPr>
          <w:rFonts w:ascii="Times New Roman" w:hAnsi="Times New Roman"/>
          <w:sz w:val="28"/>
        </w:rPr>
        <w:t xml:space="preserve">» на 2025 год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I полугодия 2025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</w:t>
      </w:r>
      <w:r>
        <w:rPr>
          <w:rFonts w:ascii="Times New Roman" w:hAnsi="Times New Roman"/>
          <w:sz w:val="28"/>
        </w:rPr>
        <w:t>Муниципальная программа Владимировского сельского поселения «</w:t>
      </w:r>
      <w:r>
        <w:rPr>
          <w:rFonts w:eastAsia="SimSun;宋体" w:cs="Times New Roman" w:ascii="Times New Roman" w:hAnsi="Times New Roman"/>
          <w:bCs/>
          <w:color w:val="auto"/>
          <w:kern w:val="2"/>
          <w:sz w:val="28"/>
          <w:szCs w:val="28"/>
          <w:lang w:val="ru-RU" w:eastAsia="ar-SA" w:bidi="hi-IN"/>
        </w:rPr>
        <w:t>Обеспечение пожарной безопасности и безопасности людей на водных объектах, профилактика терроризма и экстремизма</w:t>
      </w:r>
      <w:r>
        <w:rPr>
          <w:rFonts w:ascii="Times New Roman" w:hAnsi="Times New Roman"/>
          <w:sz w:val="28"/>
        </w:rPr>
        <w:t xml:space="preserve">» (далее – Муниципальная программа) утверждена постановлением Администрации Владимировского сельского поселения от 20.10.2018 № 104. На реализацию муниципальной программы в 2025 году предусмотрено 214,9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27,9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</w:t>
      </w:r>
      <w:r>
        <w:rPr/>
        <w:br/>
      </w:r>
      <w:r>
        <w:rPr>
          <w:rFonts w:ascii="Times New Roman" w:hAnsi="Times New Roman"/>
          <w:sz w:val="28"/>
        </w:rPr>
        <w:t xml:space="preserve">по итогам I полугодия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0,0</w:t>
      </w:r>
      <w:r>
        <w:rPr>
          <w:rFonts w:ascii="Times New Roman" w:hAnsi="Times New Roman"/>
          <w:sz w:val="28"/>
        </w:rPr>
        <w:t xml:space="preserve"> тыс. рублей </w:t>
      </w:r>
      <w:r>
        <w:rPr/>
        <w:br/>
      </w:r>
      <w:r>
        <w:rPr>
          <w:rFonts w:ascii="Times New Roman" w:hAnsi="Times New Roman"/>
          <w:sz w:val="28"/>
        </w:rPr>
        <w:t xml:space="preserve">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</w:t>
      </w:r>
      <w:r>
        <w:rPr>
          <w:rFonts w:ascii="Times New Roman" w:hAnsi="Times New Roman"/>
          <w:sz w:val="28"/>
        </w:rPr>
        <w:t xml:space="preserve"> процентов от предусмотренного сводной бюджетной росписью объема.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        </w:t>
      </w:r>
      <w:r>
        <w:rPr>
          <w:rFonts w:ascii="Times New Roman" w:hAnsi="Times New Roman"/>
          <w:sz w:val="28"/>
        </w:rPr>
        <w:t xml:space="preserve">В рамках муниципальной программы в 2025 году предусмотрено достижение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показателей муниципальной программы, достижение которых запланировано на конец 2025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</w:r>
      <w:r>
        <w:rPr>
          <w:rFonts w:ascii="Times New Roman" w:hAnsi="Times New Roman"/>
          <w:sz w:val="28"/>
        </w:rPr>
        <w:t>Муниципальная программа включает в себя следующие структурные элементы: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процессных мероприятий – </w:t>
      </w:r>
      <w:r>
        <w:rPr>
          <w:rFonts w:ascii="Times New Roman" w:hAnsi="Times New Roman"/>
          <w:i w:val="false"/>
          <w:iCs w:val="false"/>
          <w:sz w:val="28"/>
          <w:szCs w:val="28"/>
        </w:rPr>
        <w:t>«</w:t>
      </w:r>
      <w:r>
        <w:rPr>
          <w:rStyle w:val="11"/>
          <w:rFonts w:eastAsia="Times New Roman" w:cs="Times New Roman" w:ascii="Times New Roman" w:hAnsi="Times New Roman"/>
          <w:i w:val="false"/>
          <w:iCs w:val="false"/>
          <w:color w:val="000000"/>
          <w:kern w:val="0"/>
          <w:sz w:val="28"/>
          <w:szCs w:val="28"/>
          <w:lang w:val="ru-RU" w:eastAsia="ru-RU" w:bidi="ar-SA"/>
        </w:rPr>
        <w:t>Пожарная безопасность</w:t>
      </w:r>
      <w:r>
        <w:rPr>
          <w:rFonts w:ascii="Times New Roman" w:hAnsi="Times New Roman"/>
          <w:i w:val="false"/>
          <w:iCs w:val="false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(далее – КПМ 1);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Комплекс процессных мероприятий – </w:t>
      </w:r>
      <w:r>
        <w:rPr>
          <w:rFonts w:ascii="Times New Roman" w:hAnsi="Times New Roman"/>
          <w:i w:val="false"/>
          <w:iCs w:val="false"/>
          <w:sz w:val="28"/>
          <w:szCs w:val="28"/>
        </w:rPr>
        <w:t>«</w:t>
      </w:r>
      <w:r>
        <w:rPr>
          <w:rStyle w:val="11"/>
          <w:rFonts w:cs="Times New Roman" w:ascii="Times New Roman" w:hAnsi="Times New Roman"/>
          <w:i w:val="false"/>
          <w:iCs w:val="false"/>
          <w:color w:val="000000"/>
          <w:sz w:val="28"/>
          <w:szCs w:val="28"/>
          <w:lang w:eastAsia="ru-RU"/>
        </w:rPr>
        <w:t>Профилактика терроризма и экстремизма</w:t>
      </w:r>
      <w:r>
        <w:rPr>
          <w:rFonts w:ascii="Times New Roman" w:hAnsi="Times New Roman"/>
          <w:i w:val="false"/>
          <w:iCs w:val="false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(далее – КПМ 2);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Комплекс процессных мероприятий – </w:t>
      </w:r>
      <w:r>
        <w:rPr>
          <w:rFonts w:ascii="Times New Roman" w:hAnsi="Times New Roman"/>
          <w:sz w:val="28"/>
          <w:szCs w:val="28"/>
        </w:rPr>
        <w:t>«</w:t>
      </w:r>
      <w:r>
        <w:rPr>
          <w:rStyle w:val="11"/>
          <w:rFonts w:cs="Times New Roman" w:ascii="Times New Roman" w:hAnsi="Times New Roman"/>
          <w:color w:val="000000"/>
          <w:sz w:val="28"/>
          <w:szCs w:val="28"/>
          <w:lang w:eastAsia="ru-RU"/>
        </w:rPr>
        <w:t>Обеспечение безопасности на водных объектах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</w:rPr>
        <w:t>(далее – КПМ 3).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Единый аналитический план реализации муниципальной программы </w:t>
      </w:r>
      <w:r>
        <w:rPr/>
        <w:br/>
      </w:r>
      <w:r>
        <w:rPr>
          <w:rFonts w:ascii="Times New Roman" w:hAnsi="Times New Roman"/>
          <w:sz w:val="28"/>
        </w:rPr>
        <w:t xml:space="preserve">на 2025 год (далее – План) утвержден распоряжением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Администрации Владимировского сельского поселения </w:t>
      </w:r>
      <w:r>
        <w:rPr>
          <w:rFonts w:ascii="Times New Roman" w:hAnsi="Times New Roman"/>
          <w:sz w:val="28"/>
        </w:rPr>
        <w:t xml:space="preserve">от 23.12.2024 №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20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1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19,7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19,7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0,0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>, достижение которых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е</w:t>
      </w:r>
      <w:r>
        <w:rPr>
          <w:rFonts w:ascii="Times New Roman" w:hAnsi="Times New Roman"/>
          <w:sz w:val="28"/>
        </w:rPr>
        <w:t xml:space="preserve"> (результат), исполнение которых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Достижение задач КПМ 1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</w:t>
      </w:r>
      <w:r>
        <w:rPr>
          <w:rFonts w:ascii="Times New Roman" w:hAnsi="Times New Roman"/>
          <w:sz w:val="28"/>
        </w:rPr>
        <w:t xml:space="preserve"> контрольных точек.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1 </w:t>
      </w:r>
      <w:r>
        <w:rPr>
          <w:rFonts w:ascii="Times New Roman" w:hAnsi="Times New Roman"/>
          <w:sz w:val="28"/>
        </w:rPr>
        <w:t>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ая</w:t>
      </w:r>
      <w:r>
        <w:rPr>
          <w:rFonts w:ascii="Times New Roman" w:hAnsi="Times New Roman"/>
          <w:sz w:val="28"/>
        </w:rPr>
        <w:t xml:space="preserve"> точка, из них: ранее запланированного срока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  <w:r>
        <w:rPr>
          <w:rFonts w:ascii="Times New Roman" w:hAnsi="Times New Roman"/>
          <w:sz w:val="28"/>
        </w:rPr>
        <w:t xml:space="preserve"> (контрольная точка 1.1).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</w:t>
      </w:r>
      <w:r>
        <w:rPr>
          <w:rFonts w:eastAsia="NSimSun" w:cs="Mangal" w:ascii="Times New Roman" w:hAnsi="Times New Roman"/>
          <w:b w:val="false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3,0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3,0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0,0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0,0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 </w:t>
      </w:r>
      <w:r>
        <w:rPr>
          <w:rFonts w:ascii="Times New Roman" w:hAnsi="Times New Roman"/>
          <w:sz w:val="28"/>
        </w:rPr>
        <w:t>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>, достижение которых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е</w:t>
      </w:r>
      <w:r>
        <w:rPr>
          <w:rFonts w:ascii="Times New Roman" w:hAnsi="Times New Roman"/>
          <w:sz w:val="28"/>
        </w:rPr>
        <w:t xml:space="preserve"> (результат), исполнение которых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Достижение задач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</w:t>
      </w:r>
      <w:r>
        <w:rPr>
          <w:rFonts w:ascii="Times New Roman" w:hAnsi="Times New Roman"/>
          <w:sz w:val="28"/>
        </w:rPr>
        <w:t xml:space="preserve"> контрольных точек.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ая</w:t>
      </w:r>
      <w:r>
        <w:rPr>
          <w:rFonts w:ascii="Times New Roman" w:hAnsi="Times New Roman"/>
          <w:sz w:val="28"/>
        </w:rPr>
        <w:t xml:space="preserve"> точка, из них: ранее запланированного срока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tabs>
          <w:tab w:val="clear" w:pos="720"/>
          <w:tab w:val="left" w:pos="113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  <w:r>
        <w:rPr>
          <w:rFonts w:ascii="Times New Roman" w:hAnsi="Times New Roman"/>
          <w:sz w:val="28"/>
        </w:rPr>
        <w:t xml:space="preserve"> (контрольная точка 1.1).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/>
        <w:tab/>
      </w:r>
      <w:r>
        <w:rPr>
          <w:rFonts w:ascii="Times New Roman" w:hAnsi="Times New Roman"/>
          <w:sz w:val="28"/>
        </w:rPr>
        <w:t xml:space="preserve">На реализацию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5,2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5,2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0,0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рамках КПМ 3 в 2025 году предусмотрен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color w:val="000000"/>
          <w:sz w:val="28"/>
        </w:rPr>
        <w:t xml:space="preserve"> показателя, достижение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ых</w:t>
      </w:r>
      <w:r>
        <w:rPr>
          <w:rFonts w:ascii="Times New Roman" w:hAnsi="Times New Roman"/>
          <w:color w:val="000000"/>
          <w:sz w:val="28"/>
        </w:rPr>
        <w:t xml:space="preserve"> запланировано на конец 2025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color w:val="000000"/>
          <w:sz w:val="28"/>
        </w:rPr>
      </w:pPr>
      <w:r>
        <w:rPr/>
        <w:tab/>
        <w:t xml:space="preserve">     </w:t>
      </w:r>
      <w:r>
        <w:rPr>
          <w:rFonts w:ascii="Times New Roman" w:hAnsi="Times New Roman"/>
          <w:color w:val="000000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</w:t>
      </w:r>
      <w:r>
        <w:rPr>
          <w:rFonts w:ascii="Times New Roman" w:hAnsi="Times New Roman"/>
          <w:color w:val="000000"/>
          <w:sz w:val="28"/>
        </w:rPr>
        <w:t xml:space="preserve">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color w:val="000000"/>
          <w:sz w:val="28"/>
        </w:rPr>
        <w:t xml:space="preserve"> мероприятие (результат), исполнение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будет осуществлено в срок до 31.12.2025.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     </w:t>
      </w:r>
      <w:r>
        <w:rPr>
          <w:rFonts w:ascii="Times New Roman" w:hAnsi="Times New Roman"/>
          <w:sz w:val="28"/>
        </w:rPr>
        <w:t xml:space="preserve">Достижение задач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</w:t>
      </w:r>
      <w:r>
        <w:rPr>
          <w:rFonts w:ascii="Times New Roman" w:hAnsi="Times New Roman"/>
          <w:sz w:val="28"/>
        </w:rPr>
        <w:t xml:space="preserve">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</w:t>
      </w:r>
      <w:r>
        <w:rPr>
          <w:rFonts w:ascii="Times New Roman" w:hAnsi="Times New Roman"/>
          <w:sz w:val="28"/>
        </w:rPr>
        <w:t xml:space="preserve"> контрольны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х</w:t>
      </w:r>
      <w:r>
        <w:rPr>
          <w:rFonts w:ascii="Times New Roman" w:hAnsi="Times New Roman"/>
          <w:sz w:val="28"/>
        </w:rPr>
        <w:t xml:space="preserve"> точек.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 </w:t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достигнута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ая</w:t>
      </w:r>
      <w:r>
        <w:rPr>
          <w:rFonts w:ascii="Times New Roman" w:hAnsi="Times New Roman"/>
          <w:sz w:val="28"/>
        </w:rPr>
        <w:t xml:space="preserve"> точка, ранее запланированного срока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</w:t>
      </w:r>
      <w:r>
        <w:rPr>
          <w:rFonts w:ascii="Times New Roman" w:hAnsi="Times New Roman"/>
          <w:sz w:val="28"/>
        </w:rPr>
        <w:t>Ранее запланированного срока достигнута 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ая</w:t>
      </w:r>
      <w:r>
        <w:rPr>
          <w:rFonts w:ascii="Times New Roman" w:hAnsi="Times New Roman"/>
          <w:sz w:val="28"/>
        </w:rPr>
        <w:t xml:space="preserve"> точк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а - закупки включены в план-график закупок, идентификационный код закупок: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b w:val="false"/>
          <w:bCs w:val="false"/>
          <w:color w:val="auto"/>
          <w:spacing w:val="0"/>
          <w:kern w:val="0"/>
          <w:sz w:val="28"/>
          <w:szCs w:val="28"/>
          <w:lang w:val="ru-RU" w:eastAsia="zh-CN" w:bidi="hi-IN"/>
        </w:rPr>
        <w:t>253614855589461480100100010000000244</w:t>
      </w:r>
      <w:r>
        <w:rPr>
          <w:rFonts w:eastAsia="NSimSun" w:cs="Mangal" w:ascii="Times New Roman" w:hAnsi="Times New Roman"/>
          <w:bCs/>
          <w:color w:val="auto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2.1).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/>
        <w:tab/>
      </w:r>
      <w:r>
        <w:rPr>
          <w:rFonts w:ascii="Times New Roman" w:hAnsi="Times New Roman"/>
          <w:sz w:val="28"/>
        </w:rPr>
        <w:t>В ходе анализа исполнения Плана муниципальной программы</w:t>
      </w:r>
      <w:r>
        <w:rPr/>
        <w:t xml:space="preserve"> </w:t>
        <w:br/>
      </w:r>
      <w:r>
        <w:rPr>
          <w:rFonts w:ascii="Times New Roman" w:hAnsi="Times New Roman"/>
          <w:sz w:val="28"/>
        </w:rPr>
        <w:t xml:space="preserve">на 2025 год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не установлено несоблюдение сроков исполнения контрольных точек и мероприятий (результатов).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</w:t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риски неисполнения мероприятий (результатов), недостижения плановых значений показателей и контрольных точек муниципальной программы отсутствуют.</w:t>
      </w:r>
    </w:p>
    <w:sectPr>
      <w:headerReference w:type="default" r:id="rId2"/>
      <w:type w:val="nextPage"/>
      <w:pgSz w:w="11906" w:h="16838"/>
      <w:pgMar w:left="1304" w:right="737" w:header="720" w:top="1134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15"/>
      <w:jc w:val="center"/>
      <w:rPr/>
    </w:pPr>
    <w:r>
      <w:rPr/>
      <mc:AlternateContent>
        <mc:Choice Requires="wps">
          <w:drawing>
            <wp:anchor behindDoc="1" distT="0" distB="0" distL="114935" distR="114935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2540</wp:posOffset>
              </wp:positionV>
              <wp:extent cx="1272540" cy="38608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1880" cy="385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lIns="45720" rIns="4572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stroked="f" style="position:absolute;margin-left:196.5pt;margin-top:0.2pt;width:100.1pt;height:30.3pt;mso-position-horizontal:center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jc w:val="center"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Mangal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link w:val="Style_11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Mang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link w:val="Style_21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Mang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2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Mang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Mang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Style_3"/>
    <w:qFormat/>
    <w:rPr>
      <w:rFonts w:ascii="XO Thames" w:hAnsi="XO Thames"/>
      <w:sz w:val="28"/>
    </w:rPr>
  </w:style>
  <w:style w:type="character" w:styleId="Contents4">
    <w:name w:val="Contents 4"/>
    <w:link w:val="Style_4"/>
    <w:qFormat/>
    <w:rPr>
      <w:rFonts w:ascii="XO Thames" w:hAnsi="XO Thames"/>
      <w:sz w:val="28"/>
    </w:rPr>
  </w:style>
  <w:style w:type="character" w:styleId="Contents6">
    <w:name w:val="Contents 6"/>
    <w:link w:val="Style_5"/>
    <w:qFormat/>
    <w:rPr>
      <w:rFonts w:ascii="XO Thames" w:hAnsi="XO Thames"/>
      <w:sz w:val="28"/>
    </w:rPr>
  </w:style>
  <w:style w:type="character" w:styleId="Contents7">
    <w:name w:val="Contents 7"/>
    <w:link w:val="Style_6"/>
    <w:qFormat/>
    <w:rPr>
      <w:rFonts w:ascii="XO Thames" w:hAnsi="XO Thames"/>
      <w:sz w:val="28"/>
    </w:rPr>
  </w:style>
  <w:style w:type="character" w:styleId="Endnote">
    <w:name w:val="Endnote"/>
    <w:link w:val="Style_7"/>
    <w:qFormat/>
    <w:rPr>
      <w:rFonts w:ascii="XO Thames" w:hAnsi="XO Thames"/>
      <w:sz w:val="22"/>
    </w:rPr>
  </w:style>
  <w:style w:type="character" w:styleId="Heading3">
    <w:name w:val="Heading 3"/>
    <w:link w:val="Style_8"/>
    <w:qFormat/>
    <w:rPr>
      <w:rFonts w:ascii="XO Thames" w:hAnsi="XO Thames"/>
      <w:b/>
      <w:sz w:val="26"/>
    </w:rPr>
  </w:style>
  <w:style w:type="character" w:styleId="Contents3">
    <w:name w:val="Contents 3"/>
    <w:link w:val="Style_9"/>
    <w:qFormat/>
    <w:rPr>
      <w:rFonts w:ascii="XO Thames" w:hAnsi="XO Thames"/>
      <w:sz w:val="28"/>
    </w:rPr>
  </w:style>
  <w:style w:type="character" w:styleId="Heading5">
    <w:name w:val="Heading 5"/>
    <w:link w:val="Style_10"/>
    <w:qFormat/>
    <w:rPr>
      <w:rFonts w:ascii="XO Thames" w:hAnsi="XO Thames"/>
      <w:b/>
      <w:sz w:val="22"/>
    </w:rPr>
  </w:style>
  <w:style w:type="character" w:styleId="Heading1">
    <w:name w:val="Heading 1"/>
    <w:link w:val="Style_11"/>
    <w:qFormat/>
    <w:rPr>
      <w:rFonts w:ascii="XO Thames" w:hAnsi="XO Thames"/>
      <w:b/>
      <w:sz w:val="32"/>
    </w:rPr>
  </w:style>
  <w:style w:type="character" w:styleId="Style9">
    <w:name w:val="Интернет-ссылка"/>
    <w:link w:val="Style_12"/>
    <w:rPr>
      <w:color w:val="0000FF"/>
      <w:u w:val="single"/>
    </w:rPr>
  </w:style>
  <w:style w:type="character" w:styleId="Footnote">
    <w:name w:val="Footnote"/>
    <w:link w:val="Style_13"/>
    <w:qFormat/>
    <w:rPr>
      <w:rFonts w:ascii="XO Thames" w:hAnsi="XO Thames"/>
      <w:sz w:val="22"/>
    </w:rPr>
  </w:style>
  <w:style w:type="character" w:styleId="Contents1">
    <w:name w:val="Contents 1"/>
    <w:link w:val="Style_14"/>
    <w:qFormat/>
    <w:rPr>
      <w:rFonts w:ascii="XO Thames" w:hAnsi="XO Thames"/>
      <w:b/>
      <w:sz w:val="28"/>
    </w:rPr>
  </w:style>
  <w:style w:type="character" w:styleId="HeaderandFooter">
    <w:name w:val="Header and Footer"/>
    <w:link w:val="Style_1"/>
    <w:qFormat/>
    <w:rPr>
      <w:rFonts w:ascii="XO Thames" w:hAnsi="XO Thames"/>
      <w:sz w:val="28"/>
    </w:rPr>
  </w:style>
  <w:style w:type="character" w:styleId="Contents9">
    <w:name w:val="Contents 9"/>
    <w:link w:val="Style_15"/>
    <w:qFormat/>
    <w:rPr>
      <w:rFonts w:ascii="XO Thames" w:hAnsi="XO Thames"/>
      <w:sz w:val="28"/>
    </w:rPr>
  </w:style>
  <w:style w:type="character" w:styleId="Contents8">
    <w:name w:val="Contents 8"/>
    <w:link w:val="Style_16"/>
    <w:qFormat/>
    <w:rPr>
      <w:rFonts w:ascii="XO Thames" w:hAnsi="XO Thames"/>
      <w:sz w:val="28"/>
    </w:rPr>
  </w:style>
  <w:style w:type="character" w:styleId="Contents5">
    <w:name w:val="Contents 5"/>
    <w:link w:val="Style_17"/>
    <w:qFormat/>
    <w:rPr>
      <w:rFonts w:ascii="XO Thames" w:hAnsi="XO Thames"/>
      <w:sz w:val="28"/>
    </w:rPr>
  </w:style>
  <w:style w:type="character" w:styleId="Subtitle">
    <w:name w:val="Subtitle"/>
    <w:link w:val="Style_18"/>
    <w:qFormat/>
    <w:rPr>
      <w:rFonts w:ascii="XO Thames" w:hAnsi="XO Thames"/>
      <w:i/>
      <w:sz w:val="24"/>
    </w:rPr>
  </w:style>
  <w:style w:type="character" w:styleId="Title">
    <w:name w:val="Title"/>
    <w:link w:val="Style_19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20"/>
    <w:qFormat/>
    <w:rPr>
      <w:rFonts w:ascii="XO Thames" w:hAnsi="XO Thames"/>
      <w:b/>
      <w:sz w:val="24"/>
    </w:rPr>
  </w:style>
  <w:style w:type="character" w:styleId="Heading2">
    <w:name w:val="Heading 2"/>
    <w:link w:val="Style_21"/>
    <w:qFormat/>
    <w:rPr>
      <w:rFonts w:ascii="XO Thames" w:hAnsi="XO Thames"/>
      <w:b/>
      <w:sz w:val="28"/>
    </w:rPr>
  </w:style>
  <w:style w:type="character" w:styleId="11">
    <w:name w:val="Обычный1"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21">
    <w:name w:val="TOC 2"/>
    <w:next w:val="Normal"/>
    <w:link w:val="Style_3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link w:val="Style_4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link w:val="Style_5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6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Style_7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link w:val="Style_9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link w:val="Style_1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color w:val="0000FF"/>
      <w:spacing w:val="0"/>
      <w:kern w:val="0"/>
      <w:sz w:val="28"/>
      <w:szCs w:val="20"/>
      <w:u w:val="single"/>
      <w:lang w:val="ru-RU" w:eastAsia="zh-CN" w:bidi="hi-IN"/>
    </w:rPr>
  </w:style>
  <w:style w:type="paragraph" w:styleId="Footnote1">
    <w:name w:val="Footnote"/>
    <w:link w:val="Style_13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12">
    <w:name w:val="TOC 1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Верхний и нижний колонтитулы"/>
    <w:link w:val="Style_1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link w:val="Style_16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link w:val="Style_17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link w:val="Style_18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link w:val="Style_19_ch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Mang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8">
    <w:name w:val="Header"/>
    <w:basedOn w:val="Style15"/>
    <w:pPr/>
    <w:rPr/>
  </w:style>
  <w:style w:type="paragraph" w:styleId="Style19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LibreOffice/6.4.5.2$Windows_x86 LibreOffice_project/a726b36747cf2001e06b58ad5db1aa3a9a1872d6</Application>
  <Pages>2</Pages>
  <Words>593</Words>
  <Characters>4011</Characters>
  <CharactersWithSpaces>4645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2025-07-10T10:49:04Z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