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NSimSun" w:cs="Mangal"/>
          <w:color w:val="000000"/>
          <w:spacing w:val="0"/>
          <w:kern w:val="0"/>
          <w:sz w:val="28"/>
          <w:szCs w:val="20"/>
          <w:lang w:val="ru-RU" w:eastAsia="zh-CN" w:bidi="hi-IN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Пояснительная информация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NSimSun" w:cs="Mangal"/>
          <w:color w:val="000000"/>
          <w:spacing w:val="0"/>
          <w:kern w:val="0"/>
          <w:sz w:val="28"/>
          <w:szCs w:val="20"/>
          <w:lang w:val="ru-RU" w:eastAsia="zh-CN" w:bidi="hi-IN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к о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тчет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у</w:t>
      </w:r>
      <w:r>
        <w:rPr>
          <w:rFonts w:ascii="Times New Roman" w:hAnsi="Times New Roman"/>
          <w:sz w:val="28"/>
        </w:rPr>
        <w:t xml:space="preserve"> о ходе реализации муниципальной программы Владимировского сельского поселения «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Развитие культуры, физической культуры и спорта</w:t>
      </w:r>
      <w:r>
        <w:rPr>
          <w:rFonts w:ascii="Times New Roman" w:hAnsi="Times New Roman"/>
          <w:sz w:val="28"/>
        </w:rPr>
        <w:t>» на 2025 год по итогам I полугодия 2025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   </w:t>
      </w:r>
      <w:r>
        <w:rPr>
          <w:rFonts w:ascii="Times New Roman" w:hAnsi="Times New Roman"/>
          <w:sz w:val="28"/>
        </w:rPr>
        <w:t>Муниципальная программа Владимировского сельского поселения «</w:t>
      </w:r>
      <w:r>
        <w:rPr>
          <w:rFonts w:eastAsia="SimSun;宋体" w:cs="Times New Roman" w:ascii="Times New Roman" w:hAnsi="Times New Roman"/>
          <w:bCs/>
          <w:color w:val="auto"/>
          <w:kern w:val="2"/>
          <w:sz w:val="28"/>
          <w:szCs w:val="28"/>
          <w:lang w:val="ru-RU" w:eastAsia="zh-CN" w:bidi="hi-IN"/>
        </w:rPr>
        <w:t>Развитие культуры, физической культуры и спорта</w:t>
      </w:r>
      <w:r>
        <w:rPr>
          <w:rFonts w:ascii="Times New Roman" w:hAnsi="Times New Roman"/>
          <w:sz w:val="28"/>
        </w:rPr>
        <w:t xml:space="preserve">» (далее – Муниципальная программа) утверждена постановлением Администрации Владимировского сельского поселения от 20.10.2018 № 107. На реализацию муниципальной программы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8 893,3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8 893,3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полугодия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4 006,9</w:t>
      </w:r>
      <w:r>
        <w:rPr>
          <w:rFonts w:ascii="Times New Roman" w:hAnsi="Times New Roman"/>
          <w:sz w:val="28"/>
        </w:rPr>
        <w:t xml:space="preserve"> тыс. рублей</w:t>
      </w:r>
      <w:r>
        <w:rPr/>
        <w:br/>
      </w:r>
      <w:r>
        <w:rPr>
          <w:rFonts w:ascii="Times New Roman" w:hAnsi="Times New Roman"/>
          <w:sz w:val="28"/>
        </w:rPr>
        <w:t xml:space="preserve">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45,06 </w:t>
      </w:r>
      <w:r>
        <w:rPr>
          <w:rFonts w:ascii="Times New Roman" w:hAnsi="Times New Roman"/>
          <w:sz w:val="28"/>
        </w:rPr>
        <w:t>процентов от предусмотренного сводной бюджетной росписью объема.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    </w:t>
      </w:r>
      <w:r>
        <w:rPr>
          <w:rFonts w:ascii="Times New Roman" w:hAnsi="Times New Roman"/>
          <w:sz w:val="28"/>
        </w:rPr>
        <w:t xml:space="preserve">В рамках муниципальной программы в 2025 году предусмотрено достижение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показателей муниципальной программы,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ых</w:t>
      </w:r>
      <w:r>
        <w:rPr>
          <w:rFonts w:ascii="Times New Roman" w:hAnsi="Times New Roman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>Муниципальная программа включает в себя следующие структурные элементы: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i w:val="false"/>
          <w:iCs w:val="false"/>
          <w:sz w:val="28"/>
          <w:szCs w:val="28"/>
        </w:rPr>
        <w:t>«</w:t>
      </w:r>
      <w:r>
        <w:rPr>
          <w:rStyle w:val="11"/>
          <w:rFonts w:eastAsia="Times New Roman" w:cs="Times New Roman" w:ascii="Times New Roman" w:hAnsi="Times New Roman"/>
          <w:i w:val="false"/>
          <w:iCs w:val="false"/>
          <w:color w:val="000000"/>
          <w:kern w:val="0"/>
          <w:sz w:val="28"/>
          <w:szCs w:val="28"/>
          <w:lang w:val="ru-RU" w:eastAsia="ru-RU" w:bidi="ar-SA"/>
        </w:rPr>
        <w:t>Развитие физической культуры и спорта</w:t>
      </w:r>
      <w:r>
        <w:rPr>
          <w:rFonts w:ascii="Times New Roman" w:hAnsi="Times New Roman"/>
          <w:i w:val="false"/>
          <w:iCs w:val="false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(далее – КПМ 1);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Комплекс процессных мероприятий – </w:t>
      </w:r>
      <w:r>
        <w:rPr>
          <w:rFonts w:ascii="Times New Roman" w:hAnsi="Times New Roman"/>
          <w:i w:val="false"/>
          <w:iCs w:val="false"/>
          <w:sz w:val="28"/>
          <w:szCs w:val="28"/>
        </w:rPr>
        <w:t>«Развитие культуры»</w:t>
      </w:r>
      <w:r>
        <w:rPr>
          <w:rFonts w:ascii="Times New Roman" w:hAnsi="Times New Roman"/>
          <w:sz w:val="28"/>
        </w:rPr>
        <w:t xml:space="preserve"> (далее – КПМ 2).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Единый аналитический план реализации муниципальной программы </w:t>
      </w:r>
      <w:r>
        <w:rPr/>
        <w:br/>
      </w:r>
      <w:r>
        <w:rPr>
          <w:rFonts w:ascii="Times New Roman" w:hAnsi="Times New Roman"/>
          <w:sz w:val="28"/>
        </w:rPr>
        <w:t xml:space="preserve">на 2025 год (далее – План) утвержден распоряжением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Администрации Владимировского сельского поселения </w:t>
      </w:r>
      <w:r>
        <w:rPr>
          <w:rFonts w:ascii="Times New Roman" w:hAnsi="Times New Roman"/>
          <w:sz w:val="28"/>
        </w:rPr>
        <w:t xml:space="preserve">от 23.12.2024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23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1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56,8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56,8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22,5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39,61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е</w:t>
      </w:r>
      <w:r>
        <w:rPr>
          <w:rFonts w:ascii="Times New Roman" w:hAnsi="Times New Roman"/>
          <w:sz w:val="28"/>
        </w:rPr>
        <w:t xml:space="preserve"> (результат), исполнение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1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4 </w:t>
      </w:r>
      <w:r>
        <w:rPr>
          <w:rFonts w:ascii="Times New Roman" w:hAnsi="Times New Roman"/>
          <w:sz w:val="28"/>
        </w:rPr>
        <w:t>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ые</w:t>
      </w:r>
      <w:r>
        <w:rPr>
          <w:rFonts w:ascii="Times New Roman" w:hAnsi="Times New Roman"/>
          <w:sz w:val="28"/>
        </w:rPr>
        <w:t xml:space="preserve"> точка, из них: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 (контрольная точка 1.1.1);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заключен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муниципальный</w:t>
      </w:r>
      <w:r>
        <w:rPr>
          <w:rFonts w:ascii="Times New Roman" w:hAnsi="Times New Roman"/>
          <w:sz w:val="28"/>
          <w:szCs w:val="28"/>
        </w:rPr>
        <w:t xml:space="preserve"> контракт от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11</w:t>
      </w:r>
      <w:r>
        <w:rPr>
          <w:rFonts w:ascii="Times New Roman" w:hAnsi="Times New Roman"/>
          <w:sz w:val="28"/>
          <w:szCs w:val="28"/>
        </w:rPr>
        <w:t>.04.2025 № 17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на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>приобретение спортивного инвентаря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1.1.2);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сведения 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муниципальном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контракте внесены в реестр контрактов, заключенных заказчиками по результатам закупок (контрольная точка 1.1.3);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произведена оплата по муниципальному контракту, платежные поручения №770828 от 15.04.2025, №311433 от 20.01.2025  (контрольная точка 1.1.4).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</w:t>
      </w:r>
      <w:r>
        <w:rPr>
          <w:rFonts w:eastAsia="NSimSun" w:cs="Mangal" w:ascii="Times New Roman" w:hAnsi="Times New Roman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8 836,5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8 836,5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3 984,4 </w:t>
      </w:r>
      <w:r>
        <w:rPr>
          <w:rFonts w:ascii="Times New Roman" w:hAnsi="Times New Roman"/>
          <w:sz w:val="28"/>
        </w:rPr>
        <w:t xml:space="preserve">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45,09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 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ascii="Times New Roman" w:hAnsi="Times New Roman"/>
          <w:sz w:val="28"/>
        </w:rPr>
        <w:t>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ь</w:t>
      </w:r>
      <w:r>
        <w:rPr>
          <w:rFonts w:ascii="Times New Roman" w:hAnsi="Times New Roman"/>
          <w:sz w:val="28"/>
        </w:rPr>
        <w:t>, достижение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е</w:t>
      </w:r>
      <w:r>
        <w:rPr>
          <w:rFonts w:ascii="Times New Roman" w:hAnsi="Times New Roman"/>
          <w:sz w:val="28"/>
        </w:rPr>
        <w:t xml:space="preserve"> (результат), исполнение котор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ого</w:t>
      </w:r>
      <w:r>
        <w:rPr>
          <w:rFonts w:ascii="Times New Roman" w:hAnsi="Times New Roman"/>
          <w:sz w:val="28"/>
        </w:rPr>
        <w:t xml:space="preserve">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5</w:t>
      </w:r>
      <w:r>
        <w:rPr>
          <w:rFonts w:ascii="Times New Roman" w:hAnsi="Times New Roman"/>
          <w:sz w:val="28"/>
        </w:rPr>
        <w:t xml:space="preserve">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3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ascii="Times New Roman" w:hAnsi="Times New Roman"/>
          <w:sz w:val="28"/>
        </w:rPr>
        <w:t>контрольн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ые</w:t>
      </w:r>
      <w:r>
        <w:rPr>
          <w:rFonts w:ascii="Times New Roman" w:hAnsi="Times New Roman"/>
          <w:sz w:val="28"/>
        </w:rPr>
        <w:t xml:space="preserve"> точки, из них: ранее запланированного срока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>.</w:t>
      </w:r>
    </w:p>
    <w:p>
      <w:pPr>
        <w:pStyle w:val="Normal"/>
        <w:tabs>
          <w:tab w:val="clear" w:pos="720"/>
          <w:tab w:val="left" w:pos="1134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заключено соглашение №110-2025-005339 от 09.01.2025 </w:t>
      </w:r>
      <w:r>
        <w:rPr>
          <w:rFonts w:eastAsia="Calibri" w:ascii="Times New Roman" w:hAnsi="Times New Roman"/>
          <w:sz w:val="28"/>
          <w:szCs w:val="28"/>
          <w:lang w:eastAsia="en-US"/>
        </w:rPr>
        <w:t xml:space="preserve">о порядке и условиях предоставления субсидии </w:t>
      </w:r>
      <w:r>
        <w:rPr>
          <w:rFonts w:eastAsia="Calibri"/>
          <w:sz w:val="28"/>
          <w:szCs w:val="28"/>
          <w:lang w:eastAsia="en-US"/>
        </w:rPr>
        <w:t xml:space="preserve">на финансовое обеспечение выполнения муниципального </w:t>
      </w:r>
      <w:r>
        <w:rPr>
          <w:rFonts w:eastAsia="Calibri" w:ascii="Times New Roman" w:hAnsi="Times New Roman"/>
          <w:sz w:val="28"/>
          <w:szCs w:val="28"/>
          <w:lang w:eastAsia="en-US"/>
        </w:rPr>
        <w:t xml:space="preserve">задания на оказание муниципальных услуг (выполнение работ) с МБУК «ВСДК» </w:t>
      </w:r>
      <w:r>
        <w:rPr>
          <w:rFonts w:ascii="Times New Roman" w:hAnsi="Times New Roman"/>
          <w:sz w:val="28"/>
        </w:rPr>
        <w:t xml:space="preserve"> (контрольная точка 1.1.1);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проведены культурные мероприятия муниципальным учреждением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>, представлена аналитическая справка о работе МБУК «Владимировский сельский Дом культуры» за 1 полугодие 2025 года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1.1.3);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осуществлен мониторинг проведенных культурных мероприятий муниципальным учреждением,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>представлена аналитическая справка о работе МБУК «Владимировский сельский Дом культуры» за 1 полугодие 2025 года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1.1.4).       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ходе анализа исполнения Плана муниципальной программы</w:t>
      </w:r>
      <w:r>
        <w:rPr/>
        <w:t xml:space="preserve"> </w:t>
        <w:br/>
      </w:r>
      <w:r>
        <w:rPr>
          <w:rFonts w:ascii="Times New Roman" w:hAnsi="Times New Roman"/>
          <w:sz w:val="28"/>
        </w:rPr>
        <w:t xml:space="preserve">на 2025 год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не установлено несоблюдение сроков исполнения контрольных точек и мероприятий (результатов).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риски неисполнения мероприятий (результатов), недостижения плановых значений показателей и контрольных точек муниципальной программы отсутствуют.</w:t>
      </w:r>
    </w:p>
    <w:sectPr>
      <w:headerReference w:type="default" r:id="rId2"/>
      <w:type w:val="nextPage"/>
      <w:pgSz w:w="11906" w:h="16838"/>
      <w:pgMar w:left="1304" w:right="737" w:header="720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15"/>
      <w:jc w:val="center"/>
      <w:rPr/>
    </w:pPr>
    <w:r>
      <w:rPr/>
      <mc:AlternateContent>
        <mc:Choice Requires="wps">
          <w:drawing>
            <wp:anchor behindDoc="1" distT="0" distB="0" distL="114935" distR="114935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5080</wp:posOffset>
              </wp:positionV>
              <wp:extent cx="1275080" cy="38608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4400" cy="385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45720" rIns="4572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stroked="f" style="position:absolute;margin-left:196.4pt;margin-top:0.4pt;width:100.3pt;height:30.3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Mangal"/>
        <w:color w:val="000000"/>
        <w:sz w:val="20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qFormat/>
    <w:pPr>
      <w:widowControl/>
      <w:suppressAutoHyphens w:val="true"/>
      <w:overflowPunct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Mang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qFormat/>
    <w:pPr>
      <w:widowControl/>
      <w:suppressAutoHyphens w:val="true"/>
      <w:overflowPunct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qFormat/>
    <w:pPr>
      <w:widowControl/>
      <w:suppressAutoHyphens w:val="true"/>
      <w:overflowPunct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Mang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qFormat/>
    <w:pPr>
      <w:widowControl/>
      <w:suppressAutoHyphens w:val="true"/>
      <w:overflowPunct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Mang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qFormat/>
    <w:pPr>
      <w:widowControl/>
      <w:suppressAutoHyphens w:val="true"/>
      <w:overflowPunct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Mang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Интернет-ссылка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11">
    <w:name w:val="Обычный1"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21">
    <w:name w:val="TOC 2"/>
    <w:next w:val="Normal"/>
    <w:pPr>
      <w:widowControl/>
      <w:suppressAutoHyphens w:val="true"/>
      <w:overflowPunct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pPr>
      <w:widowControl/>
      <w:suppressAutoHyphens w:val="true"/>
      <w:overflowPunct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pPr>
      <w:widowControl/>
      <w:suppressAutoHyphens w:val="true"/>
      <w:overflowPunct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pPr>
      <w:widowControl/>
      <w:suppressAutoHyphens w:val="true"/>
      <w:overflowPunct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qFormat/>
    <w:pPr>
      <w:widowControl/>
      <w:suppressAutoHyphens w:val="true"/>
      <w:overflowPunct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pPr>
      <w:widowControl/>
      <w:suppressAutoHyphens w:val="true"/>
      <w:overflowPunct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qFormat/>
    <w:pPr>
      <w:widowControl/>
      <w:suppressAutoHyphens w:val="true"/>
      <w:overflowPunct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color w:val="0000FF"/>
      <w:spacing w:val="0"/>
      <w:kern w:val="0"/>
      <w:sz w:val="28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overflowPunct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12">
    <w:name w:val="TOC 1"/>
    <w:next w:val="Normal"/>
    <w:pPr>
      <w:widowControl/>
      <w:suppressAutoHyphens w:val="true"/>
      <w:overflowPunct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qFormat/>
    <w:pPr>
      <w:widowControl/>
      <w:suppressAutoHyphens w:val="true"/>
      <w:overflowPunct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pPr>
      <w:widowControl/>
      <w:suppressAutoHyphens w:val="true"/>
      <w:overflowPunct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pPr>
      <w:widowControl/>
      <w:suppressAutoHyphens w:val="true"/>
      <w:overflowPunct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pPr>
      <w:widowControl/>
      <w:suppressAutoHyphens w:val="true"/>
      <w:overflowPunct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qFormat/>
    <w:pPr>
      <w:widowControl/>
      <w:suppressAutoHyphens w:val="true"/>
      <w:overflowPunct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qFormat/>
    <w:pPr>
      <w:widowControl/>
      <w:suppressAutoHyphens w:val="true"/>
      <w:overflowPunct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Mang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8">
    <w:name w:val="Header"/>
    <w:basedOn w:val="Style15"/>
    <w:pPr/>
    <w:rPr/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Application>LibreOffice/6.4.5.2$Windows_x86 LibreOffice_project/a726b36747cf2001e06b58ad5db1aa3a9a1872d6</Application>
  <Pages>2</Pages>
  <Words>566</Words>
  <Characters>3895</Characters>
  <CharactersWithSpaces>4506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2025-07-11T09:53:15Z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