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Пояснительная информация</w:t>
      </w:r>
    </w:p>
    <w:p>
      <w:pPr>
        <w:pStyle w:val="Normal"/>
        <w:widowControl w:val="fals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 отчету о ходе реализации муниципальной программы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 xml:space="preserve">Владимировского сельского поселения </w:t>
      </w:r>
      <w:r>
        <w:rPr>
          <w:sz w:val="32"/>
          <w:szCs w:val="32"/>
        </w:rPr>
        <w:t xml:space="preserve">«Управление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муниципальными</w:t>
      </w:r>
      <w:r>
        <w:rPr>
          <w:sz w:val="32"/>
          <w:szCs w:val="32"/>
        </w:rPr>
        <w:t xml:space="preserve"> финансами» на 2025 год по итогам 1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полугодия</w:t>
      </w:r>
      <w:r>
        <w:rPr>
          <w:sz w:val="32"/>
          <w:szCs w:val="32"/>
        </w:rPr>
        <w:t xml:space="preserve"> 2025 года</w:t>
      </w:r>
    </w:p>
    <w:p>
      <w:pPr>
        <w:pStyle w:val="Normal"/>
        <w:widowControl w:val="false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Муниципальная</w:t>
      </w:r>
      <w:r>
        <w:rPr>
          <w:sz w:val="32"/>
          <w:szCs w:val="32"/>
        </w:rPr>
        <w:t xml:space="preserve"> программа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Владимировского сельского поселения</w:t>
      </w:r>
      <w:r>
        <w:rPr>
          <w:sz w:val="32"/>
          <w:szCs w:val="32"/>
        </w:rPr>
        <w:t xml:space="preserve"> «Управление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Муниципальными</w:t>
      </w:r>
      <w:r>
        <w:rPr>
          <w:sz w:val="32"/>
          <w:szCs w:val="32"/>
        </w:rPr>
        <w:t xml:space="preserve"> финансами» (далее – муниципальная программа) утверждена постановлением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Администрации Владимировского сельского поселения</w:t>
      </w:r>
      <w:r>
        <w:rPr>
          <w:sz w:val="32"/>
          <w:szCs w:val="32"/>
        </w:rPr>
        <w:t xml:space="preserve"> от 20.12.2018 № 102. На реализацию муниципальной программы в 2025 году предусмотрено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8 840,9</w:t>
      </w:r>
      <w:r>
        <w:rPr>
          <w:sz w:val="32"/>
          <w:szCs w:val="32"/>
        </w:rPr>
        <w:t xml:space="preserve"> тыс. рублей, сводной бюджетной росписью –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8 840,9</w:t>
      </w:r>
      <w:r>
        <w:rPr>
          <w:sz w:val="32"/>
          <w:szCs w:val="32"/>
        </w:rPr>
        <w:t xml:space="preserve"> тыс. рублей. Фактическое освоение средств по итогам 1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полугодия</w:t>
      </w:r>
      <w:r>
        <w:rPr>
          <w:sz w:val="32"/>
          <w:szCs w:val="32"/>
        </w:rPr>
        <w:t xml:space="preserve"> 2025 года составило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2 780,8</w:t>
      </w:r>
      <w:r>
        <w:rPr>
          <w:sz w:val="32"/>
          <w:szCs w:val="32"/>
        </w:rPr>
        <w:t xml:space="preserve"> тыс. рублей или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31,5</w:t>
      </w:r>
      <w:r>
        <w:rPr>
          <w:sz w:val="32"/>
          <w:szCs w:val="32"/>
        </w:rPr>
        <w:t xml:space="preserve"> % от предусмотренного сводной бюджетной росписью объема.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муниципальная программа включает в себя следующие структурные элементы: 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комплекс процессных мероприятий – «Эффективное управление доходами» (далее – КПМ1);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комплекс процессных мероприятий – «</w:t>
      </w:r>
      <w:r>
        <w:rPr>
          <w:rFonts w:cs="Times New Roman"/>
          <w:i w:val="false"/>
          <w:iCs w:val="false"/>
          <w:sz w:val="32"/>
          <w:szCs w:val="32"/>
        </w:rPr>
        <w:t>Нормативно-методическое обеспечение и организация бюджетного процесса</w:t>
      </w:r>
      <w:r>
        <w:rPr>
          <w:sz w:val="32"/>
          <w:szCs w:val="32"/>
        </w:rPr>
        <w:t>» (далее – КПМ2).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рамках муниципальной программы в 2025 году предусмотрено достижение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2</w:t>
      </w:r>
      <w:r>
        <w:rPr>
          <w:sz w:val="32"/>
          <w:szCs w:val="32"/>
        </w:rPr>
        <w:t xml:space="preserve"> показателей, выполнение которых запланировано на конец года. В настоящее время риски их неисполнения отсутствуют.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На реализацию мероприятий (результатов) КПМ1 в 2025 году расходы бюджета поселения не предусмотрены.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 рамках КПМ1 в 2025 году предусмотрено 2 мероприятия (результата), достижение которых запланировано на конец года. В настоящее время риски их неисполнения отсутствуют.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Достижение задач КПМ1 оценивается на основании 9 контрольных точек.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 итогам 1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полугодия</w:t>
      </w:r>
      <w:r>
        <w:rPr>
          <w:sz w:val="32"/>
          <w:szCs w:val="32"/>
        </w:rPr>
        <w:t xml:space="preserve"> 2025 года достигнуты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4</w:t>
      </w:r>
      <w:r>
        <w:rPr>
          <w:sz w:val="32"/>
          <w:szCs w:val="32"/>
        </w:rPr>
        <w:t xml:space="preserve"> контрольны</w:t>
      </w:r>
      <w:r>
        <w:rPr>
          <w:sz w:val="32"/>
          <w:szCs w:val="32"/>
        </w:rPr>
        <w:t>е</w:t>
      </w:r>
      <w:r>
        <w:rPr>
          <w:sz w:val="32"/>
          <w:szCs w:val="32"/>
        </w:rPr>
        <w:t xml:space="preserve"> точк</w:t>
      </w:r>
      <w:r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  <w:br/>
        <w:t>ранее запланированного срока.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Контрольная точка 1.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1</w:t>
      </w:r>
      <w:r>
        <w:rPr>
          <w:sz w:val="32"/>
          <w:szCs w:val="32"/>
        </w:rPr>
        <w:t>. «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Проведен мониторинг налоговой задолженности»</w:t>
      </w:r>
      <w:r>
        <w:rPr>
          <w:sz w:val="32"/>
          <w:szCs w:val="32"/>
        </w:rPr>
        <w:t xml:space="preserve">.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Направлено</w:t>
      </w:r>
      <w:r>
        <w:rPr>
          <w:sz w:val="32"/>
          <w:szCs w:val="32"/>
        </w:rPr>
        <w:t xml:space="preserve"> письмо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в адрес главы Администрации Владимировского сельского поселения</w:t>
      </w:r>
      <w:r>
        <w:rPr>
          <w:sz w:val="32"/>
          <w:szCs w:val="32"/>
        </w:rPr>
        <w:t xml:space="preserve"> от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07</w:t>
      </w:r>
      <w:r>
        <w:rPr>
          <w:sz w:val="32"/>
          <w:szCs w:val="32"/>
        </w:rPr>
        <w:t>.0</w:t>
      </w:r>
      <w:r>
        <w:rPr>
          <w:sz w:val="32"/>
          <w:szCs w:val="32"/>
        </w:rPr>
        <w:t>4</w:t>
      </w:r>
      <w:r>
        <w:rPr>
          <w:sz w:val="32"/>
          <w:szCs w:val="32"/>
        </w:rPr>
        <w:t>.2025</w:t>
      </w:r>
      <w:r>
        <w:rPr>
          <w:sz w:val="32"/>
          <w:szCs w:val="32"/>
        </w:rPr>
        <w:t xml:space="preserve"> № </w:t>
      </w:r>
      <w:r>
        <w:rPr>
          <w:sz w:val="32"/>
          <w:szCs w:val="32"/>
        </w:rPr>
        <w:t>12-03/003488</w:t>
      </w:r>
      <w:r>
        <w:rPr>
          <w:sz w:val="32"/>
          <w:szCs w:val="32"/>
          <w:lang w:val="en-US"/>
        </w:rPr>
        <w:t>@</w:t>
      </w:r>
      <w:r>
        <w:rPr>
          <w:sz w:val="32"/>
          <w:szCs w:val="32"/>
        </w:rPr>
        <w:t xml:space="preserve"> о</w:t>
      </w:r>
      <w:r>
        <w:rPr>
          <w:sz w:val="32"/>
          <w:szCs w:val="32"/>
        </w:rPr>
        <w:t xml:space="preserve">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проведении мониторинга налоговой задолженности</w:t>
      </w:r>
      <w:r>
        <w:rPr>
          <w:sz w:val="32"/>
          <w:szCs w:val="32"/>
        </w:rPr>
        <w:t>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Контрольная точка 1.2. «</w:t>
      </w:r>
      <w:r>
        <w:rPr>
          <w:rFonts w:cs="Times New Roman"/>
          <w:sz w:val="32"/>
          <w:szCs w:val="32"/>
        </w:rPr>
        <w:t xml:space="preserve">Исполнены пункты </w:t>
      </w:r>
      <w:r>
        <w:rPr>
          <w:rFonts w:eastAsia="Calibri" w:cs="Times New Roman"/>
          <w:sz w:val="32"/>
          <w:szCs w:val="32"/>
          <w:lang w:eastAsia="en-US"/>
        </w:rPr>
        <w:t xml:space="preserve">Плана мероприятий </w:t>
      </w:r>
      <w:r>
        <w:rPr>
          <w:rFonts w:cs="Times New Roman"/>
          <w:sz w:val="32"/>
          <w:szCs w:val="32"/>
        </w:rPr>
        <w:t>по росту доходного потенциала Владимировского сельского поселения и оптимизации расходов бюджета поселения до 2030 года</w:t>
      </w:r>
      <w:r>
        <w:rPr>
          <w:sz w:val="32"/>
          <w:szCs w:val="32"/>
        </w:rPr>
        <w:t xml:space="preserve">». Направлено  письмо в министерство Финансов Ростовской области от 17.01.2025 № 79.2-13 </w:t>
      </w:r>
      <w:r>
        <w:rPr>
          <w:b w:val="false"/>
          <w:i w:val="false"/>
          <w:caps w:val="false"/>
          <w:smallCaps w:val="false"/>
          <w:color w:val="020B22"/>
          <w:spacing w:val="0"/>
          <w:sz w:val="32"/>
          <w:szCs w:val="32"/>
        </w:rPr>
        <w:t>об исполнении пунктов Плана мероприятий за 2024 год</w:t>
      </w:r>
      <w:r>
        <w:rPr>
          <w:sz w:val="32"/>
          <w:szCs w:val="32"/>
        </w:rPr>
        <w:t>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Контрольная точка 1.3. «</w:t>
      </w:r>
      <w:r>
        <w:rPr>
          <w:rFonts w:cs="Times New Roman"/>
          <w:sz w:val="32"/>
          <w:szCs w:val="32"/>
        </w:rPr>
        <w:t xml:space="preserve">Исполнены пункты </w:t>
      </w:r>
      <w:r>
        <w:rPr>
          <w:rFonts w:eastAsia="Calibri" w:cs="Times New Roman"/>
          <w:sz w:val="32"/>
          <w:szCs w:val="32"/>
          <w:lang w:eastAsia="en-US"/>
        </w:rPr>
        <w:t xml:space="preserve">Плана мероприятий </w:t>
      </w:r>
      <w:r>
        <w:rPr>
          <w:rFonts w:cs="Times New Roman"/>
          <w:sz w:val="32"/>
          <w:szCs w:val="32"/>
        </w:rPr>
        <w:t>по росту доходного потенциала Владимировского сельского поселения и оптимизации расходов бюджета поселения до 2030 года</w:t>
      </w:r>
      <w:r>
        <w:rPr>
          <w:sz w:val="32"/>
          <w:szCs w:val="32"/>
        </w:rPr>
        <w:t>». Направлено  письмо в министерство Финансов Ростовской области от 11.04.2025 № 79.2-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82</w:t>
      </w:r>
      <w:r>
        <w:rPr>
          <w:sz w:val="32"/>
          <w:szCs w:val="32"/>
        </w:rPr>
        <w:t xml:space="preserve"> </w:t>
      </w:r>
      <w:r>
        <w:rPr>
          <w:b w:val="false"/>
          <w:i w:val="false"/>
          <w:caps w:val="false"/>
          <w:smallCaps w:val="false"/>
          <w:color w:val="020B22"/>
          <w:spacing w:val="0"/>
          <w:sz w:val="32"/>
          <w:szCs w:val="32"/>
        </w:rPr>
        <w:t>об исполнении пунктов Плана мероприятий за 1 квартал 2025 года</w:t>
      </w:r>
      <w:r>
        <w:rPr>
          <w:sz w:val="32"/>
          <w:szCs w:val="32"/>
        </w:rPr>
        <w:t>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Контрольная точка 2.1. «</w:t>
      </w:r>
      <w:r>
        <w:rPr>
          <w:rFonts w:cs="Times New Roman"/>
          <w:sz w:val="32"/>
          <w:szCs w:val="32"/>
        </w:rPr>
        <w:t xml:space="preserve">Направлены в МИФНС России №21 по Ростовской области сведения о категориях плательщиков, установленных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решением администрации</w:t>
      </w:r>
      <w:r>
        <w:rPr>
          <w:sz w:val="32"/>
          <w:szCs w:val="32"/>
        </w:rPr>
        <w:t xml:space="preserve">». Направлено  письмо в </w:t>
      </w:r>
      <w:r>
        <w:rPr>
          <w:rFonts w:cs="Times New Roman"/>
          <w:sz w:val="32"/>
          <w:szCs w:val="32"/>
        </w:rPr>
        <w:t>МИФНС России №21 по Ростовской области</w:t>
      </w:r>
      <w:r>
        <w:rPr>
          <w:sz w:val="32"/>
          <w:szCs w:val="32"/>
        </w:rPr>
        <w:t xml:space="preserve"> от </w:t>
      </w:r>
      <w:r>
        <w:rPr>
          <w:sz w:val="32"/>
          <w:szCs w:val="32"/>
        </w:rPr>
        <w:t>30</w:t>
      </w:r>
      <w:r>
        <w:rPr>
          <w:sz w:val="32"/>
          <w:szCs w:val="32"/>
        </w:rPr>
        <w:t xml:space="preserve">.01.2025 №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27</w:t>
      </w:r>
      <w:r>
        <w:rPr>
          <w:sz w:val="32"/>
          <w:szCs w:val="32"/>
        </w:rPr>
        <w:t xml:space="preserve"> о </w:t>
      </w:r>
      <w:r>
        <w:rPr>
          <w:rFonts w:cs="Times New Roman"/>
          <w:sz w:val="32"/>
          <w:szCs w:val="32"/>
        </w:rPr>
        <w:t>ка</w:t>
      </w:r>
      <w:r>
        <w:rPr>
          <w:rFonts w:cs="Times New Roman"/>
          <w:sz w:val="32"/>
          <w:szCs w:val="32"/>
        </w:rPr>
        <w:t xml:space="preserve">тегориях плательщиков, установленных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решением</w:t>
      </w:r>
      <w:r>
        <w:rPr>
          <w:sz w:val="32"/>
          <w:szCs w:val="32"/>
        </w:rPr>
        <w:t>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Контрольная точка 2.2. «</w:t>
      </w:r>
      <w:r>
        <w:rPr>
          <w:rFonts w:cs="Times New Roman"/>
          <w:sz w:val="32"/>
          <w:szCs w:val="32"/>
        </w:rPr>
        <w:t xml:space="preserve">Направлена информация в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 xml:space="preserve">Сектор экономики и финансов </w:t>
      </w:r>
      <w:r>
        <w:rPr>
          <w:rFonts w:cs="Times New Roman"/>
          <w:sz w:val="32"/>
          <w:szCs w:val="32"/>
        </w:rPr>
        <w:t xml:space="preserve">по перечню показателей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для оценки эффективности налоговых расходов Владимировского сельского поселени</w:t>
      </w:r>
      <w:r>
        <w:rPr>
          <w:rFonts w:eastAsia="Times New Roman" w:cs="Times New Roman"/>
          <w:color w:val="000000"/>
          <w:kern w:val="0"/>
          <w:sz w:val="24"/>
          <w:szCs w:val="20"/>
          <w:lang w:val="ru-RU" w:eastAsia="ru-RU" w:bidi="ar-SA"/>
        </w:rPr>
        <w:t>я</w:t>
      </w:r>
      <w:r>
        <w:rPr>
          <w:sz w:val="32"/>
          <w:szCs w:val="32"/>
        </w:rPr>
        <w:t>». Направлен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а</w:t>
      </w:r>
      <w:r>
        <w:rPr>
          <w:sz w:val="32"/>
          <w:szCs w:val="32"/>
        </w:rPr>
        <w:t xml:space="preserve"> служебная записка </w:t>
      </w:r>
      <w:r>
        <w:rPr>
          <w:sz w:val="32"/>
          <w:szCs w:val="32"/>
        </w:rPr>
        <w:t>№</w:t>
      </w:r>
      <w:r>
        <w:rPr>
          <w:sz w:val="32"/>
          <w:szCs w:val="32"/>
        </w:rPr>
        <w:t>3</w:t>
      </w:r>
      <w:r>
        <w:rPr>
          <w:sz w:val="32"/>
          <w:szCs w:val="32"/>
        </w:rPr>
        <w:t xml:space="preserve"> от 16.05.2025 </w:t>
      </w:r>
      <w:r>
        <w:rPr>
          <w:sz w:val="32"/>
          <w:szCs w:val="32"/>
        </w:rPr>
        <w:t xml:space="preserve">с информацией о </w:t>
      </w:r>
      <w:r>
        <w:rPr>
          <w:rFonts w:cs="Times New Roman"/>
          <w:sz w:val="32"/>
          <w:szCs w:val="32"/>
        </w:rPr>
        <w:t xml:space="preserve">категориях плательщиков, установленных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решением</w:t>
      </w:r>
      <w:r>
        <w:rPr>
          <w:sz w:val="32"/>
          <w:szCs w:val="32"/>
        </w:rPr>
        <w:t>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Достижение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4</w:t>
      </w:r>
      <w:r>
        <w:rPr>
          <w:sz w:val="32"/>
          <w:szCs w:val="32"/>
        </w:rPr>
        <w:t xml:space="preserve"> контрольных точек запланировано до конца года.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реализацию мероприятий (результатов) КПМ2 в 2025 году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муниципальной</w:t>
      </w:r>
      <w:r>
        <w:rPr>
          <w:sz w:val="32"/>
          <w:szCs w:val="32"/>
        </w:rPr>
        <w:t xml:space="preserve"> программой предусмотрено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8 840,9</w:t>
      </w:r>
      <w:r>
        <w:rPr>
          <w:sz w:val="32"/>
          <w:szCs w:val="32"/>
        </w:rPr>
        <w:t xml:space="preserve"> тыс. рублей, сводной бюджетной росписью –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8 840,9</w:t>
      </w:r>
      <w:r>
        <w:rPr>
          <w:sz w:val="32"/>
          <w:szCs w:val="32"/>
        </w:rPr>
        <w:t xml:space="preserve"> тыс. рублей. Фактическое освоение средств по итогам 1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полугодия</w:t>
      </w:r>
      <w:r>
        <w:rPr>
          <w:sz w:val="32"/>
          <w:szCs w:val="32"/>
        </w:rPr>
        <w:t xml:space="preserve"> 2025 года составило </w:t>
        <w:br/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2 780,8</w:t>
      </w:r>
      <w:r>
        <w:rPr>
          <w:sz w:val="32"/>
          <w:szCs w:val="32"/>
        </w:rPr>
        <w:t xml:space="preserve"> тыс. рублей или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31,5</w:t>
      </w:r>
      <w:r>
        <w:rPr>
          <w:sz w:val="32"/>
          <w:szCs w:val="32"/>
        </w:rPr>
        <w:t xml:space="preserve"> %. 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рамках КПМ2 в 2025 году предусмотрено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2</w:t>
      </w:r>
      <w:r>
        <w:rPr>
          <w:sz w:val="32"/>
          <w:szCs w:val="32"/>
        </w:rPr>
        <w:t xml:space="preserve"> мероприятия (результата), достижение которых запланировано на конец года. </w:t>
        <w:br/>
        <w:t>В настоящее время риски их неисполнения отсутствуют.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Достижение задач КПМ2 оценивается на основании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 xml:space="preserve">7 </w:t>
      </w:r>
      <w:r>
        <w:rPr>
          <w:sz w:val="32"/>
          <w:szCs w:val="32"/>
        </w:rPr>
        <w:t>контрольных точек.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 итогам 1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полугодия</w:t>
      </w:r>
      <w:r>
        <w:rPr>
          <w:sz w:val="32"/>
          <w:szCs w:val="32"/>
        </w:rPr>
        <w:t xml:space="preserve"> 2025 года достигнуты 2 контрольные точки </w:t>
        <w:br/>
        <w:t>ранее запланированного срока.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</w:rPr>
        <w:t>Контрольная точка 1.1. «</w:t>
      </w:r>
      <w:r>
        <w:rPr>
          <w:rFonts w:cs="Times New Roman"/>
          <w:sz w:val="32"/>
          <w:szCs w:val="32"/>
        </w:rPr>
        <w:t xml:space="preserve">Проведены закупки товаров, работ, услуг в соответствии с Федеральным законом от 05.04.2013 № 44-ФЗ «О контрактной системе в сфере закупок товаров, работ, услуг для обеспечения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государственных</w:t>
      </w:r>
      <w:r>
        <w:rPr>
          <w:rFonts w:cs="Times New Roman"/>
          <w:sz w:val="32"/>
          <w:szCs w:val="32"/>
        </w:rPr>
        <w:t xml:space="preserve"> и муниципальных нужд» для обеспечения нужд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 xml:space="preserve">Администрации Владимировского сельского поселения </w:t>
      </w:r>
      <w:r>
        <w:rPr>
          <w:rFonts w:cs="Times New Roman"/>
          <w:sz w:val="32"/>
          <w:szCs w:val="32"/>
        </w:rPr>
        <w:t>в соответствии с утвержденным планом – графиком закупок</w:t>
      </w:r>
      <w:r>
        <w:rPr>
          <w:sz w:val="32"/>
        </w:rPr>
        <w:t xml:space="preserve">». </w:t>
      </w:r>
      <w:r>
        <w:rPr>
          <w:rFonts w:eastAsia="Times New Roman" w:cs="Times New Roman"/>
          <w:color w:val="000000"/>
          <w:kern w:val="0"/>
          <w:sz w:val="32"/>
          <w:szCs w:val="20"/>
          <w:lang w:val="ru-RU" w:eastAsia="ru-RU" w:bidi="ar-SA"/>
        </w:rPr>
        <w:t>Заключены муниципальные контракты №61270202080, №43-3-37337/25-Н, №679223, №679223-Б, №161379312779, №4, №443ЗВФ от 09.01.2025; №ДК24-ЭМКТ00047, №2 от 10.01.2025; №4827/00001 от 01.02.2025; №7, №9 от 17.02.2025; №2024СБ-139 от 26.02.2025, №128710/25 от 26.03.2025; №ДК24-ЭМКТ00727 от 02.04.2025; №2025НБ-711 от 03.04.2025; №8.1.17.11-2/15 от 24.04.2025; №23, №24 от 16.05.2025.</w:t>
      </w:r>
      <w:r>
        <w:rPr>
          <w:sz w:val="32"/>
        </w:rPr>
        <w:t xml:space="preserve"> 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Контрольная точка 2.1. «</w:t>
      </w:r>
      <w:r>
        <w:rPr>
          <w:rFonts w:cs="Times New Roman"/>
          <w:sz w:val="32"/>
          <w:szCs w:val="32"/>
        </w:rPr>
        <w:t xml:space="preserve">Подготовлено постановление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 xml:space="preserve">Администрации Владимировского сельского поселения </w:t>
      </w:r>
      <w:r>
        <w:rPr>
          <w:rFonts w:cs="Times New Roman"/>
          <w:sz w:val="32"/>
          <w:szCs w:val="32"/>
        </w:rPr>
        <w:t xml:space="preserve">«Об утверждении Порядка и сроков составления проекта бюджета Владимировского сельского поселения Красносулинского района на очередной финансовый год и на плановые периоды». Утверждено постановление Администрации Владимировского сельского поселения от 05.06.2025 №51 «Об утверждении Порядка и сроков составления </w:t>
      </w:r>
      <w:r>
        <w:rPr>
          <w:sz w:val="32"/>
          <w:szCs w:val="32"/>
        </w:rPr>
        <w:t xml:space="preserve">проекта бюджета Владимировского сельского поселения Красносулинского района </w:t>
      </w:r>
      <w:r>
        <w:rPr>
          <w:rFonts w:cs="Times New Roman"/>
          <w:sz w:val="32"/>
          <w:szCs w:val="32"/>
        </w:rPr>
        <w:t>на 2026 год и на плановый период 2027 и 2028 годов».</w:t>
      </w:r>
    </w:p>
    <w:p>
      <w:pPr>
        <w:pStyle w:val="Normal"/>
        <w:widowControl w:val="false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Достижение 4 контрольных точек запланировано до конца года.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В ходе анализа и мониторинга исполнения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муниципальной</w:t>
      </w:r>
      <w:r>
        <w:rPr>
          <w:sz w:val="32"/>
          <w:szCs w:val="32"/>
        </w:rPr>
        <w:t xml:space="preserve">  программы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Владимировского сельского поселения</w:t>
      </w:r>
      <w:r>
        <w:rPr>
          <w:sz w:val="32"/>
          <w:szCs w:val="32"/>
        </w:rPr>
        <w:t xml:space="preserve"> «Управление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муниципальными</w:t>
      </w:r>
      <w:r>
        <w:rPr>
          <w:sz w:val="32"/>
          <w:szCs w:val="32"/>
        </w:rPr>
        <w:t xml:space="preserve"> финансами» на 2025 год по итогам 1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полугодия</w:t>
      </w:r>
      <w:r>
        <w:rPr>
          <w:sz w:val="32"/>
          <w:szCs w:val="32"/>
        </w:rPr>
        <w:t xml:space="preserve">а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>
      <w:pPr>
        <w:pStyle w:val="Normal"/>
        <w:widowControl w:val="false"/>
        <w:spacing w:lineRule="auto" w:line="228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sectPr>
      <w:footerReference w:type="default" r:id="rId2"/>
      <w:type w:val="nextPage"/>
      <w:pgSz w:w="11906" w:h="16838"/>
      <w:pgMar w:left="1134" w:right="566" w:header="0" w:top="993" w:footer="709" w:bottom="127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6675" cy="14605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05.05pt;margin-top:0.05pt;width:5.15pt;height:11.4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basedOn w:val="Normal"/>
    <w:next w:val="Normal"/>
    <w:link w:val="30"/>
    <w:uiPriority w:val="9"/>
    <w:qFormat/>
    <w:pPr>
      <w:keepNext w:val="true"/>
      <w:jc w:val="both"/>
      <w:outlineLvl w:val="2"/>
    </w:pPr>
    <w:rPr>
      <w:sz w:val="28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>
      <w:rFonts w:ascii="Times New Roman" w:hAnsi="Times New Roman"/>
      <w:sz w:val="20"/>
    </w:rPr>
  </w:style>
  <w:style w:type="character" w:styleId="Appleconvertedspace" w:customStyle="1">
    <w:name w:val="apple-converted-space"/>
    <w:basedOn w:val="DefaultParagraphFont"/>
    <w:link w:val="apple-converted-space"/>
    <w:qFormat/>
    <w:rPr/>
  </w:style>
  <w:style w:type="character" w:styleId="21" w:customStyle="1">
    <w:name w:val="Оглавление 2 Знак"/>
    <w:link w:val="2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Style9" w:customStyle="1">
    <w:name w:val="Без интервала Знак"/>
    <w:link w:val="a3"/>
    <w:qFormat/>
    <w:rPr>
      <w:rFonts w:ascii="Calibri" w:hAnsi="Calibri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31" w:customStyle="1">
    <w:name w:val="Заголовок 3 Знак"/>
    <w:basedOn w:val="11"/>
    <w:link w:val="3"/>
    <w:qFormat/>
    <w:rPr>
      <w:rFonts w:ascii="Times New Roman" w:hAnsi="Times New Roman"/>
      <w:sz w:val="28"/>
    </w:rPr>
  </w:style>
  <w:style w:type="character" w:styleId="Style10" w:customStyle="1">
    <w:name w:val="Основной текст с отступом Знак"/>
    <w:basedOn w:val="11"/>
    <w:link w:val="a5"/>
    <w:qFormat/>
    <w:rPr>
      <w:rFonts w:ascii="Times New Roman" w:hAnsi="Times New Roman"/>
      <w:sz w:val="28"/>
    </w:rPr>
  </w:style>
  <w:style w:type="character" w:styleId="32" w:customStyle="1">
    <w:name w:val="Оглавление 3 Знак"/>
    <w:link w:val="31"/>
    <w:qFormat/>
    <w:rPr>
      <w:rFonts w:ascii="XO Thames" w:hAnsi="XO Thames"/>
      <w:sz w:val="28"/>
    </w:rPr>
  </w:style>
  <w:style w:type="character" w:styleId="Style11" w:customStyle="1">
    <w:name w:val="Абзац списка Знак"/>
    <w:basedOn w:val="11"/>
    <w:link w:val="a7"/>
    <w:qFormat/>
    <w:rPr>
      <w:rFonts w:ascii="Calibri" w:hAnsi="Calibri" w:asciiTheme="minorHAnsi" w:hAnsiTheme="minorHAnsi"/>
      <w:sz w:val="22"/>
    </w:rPr>
  </w:style>
  <w:style w:type="character" w:styleId="51" w:customStyle="1">
    <w:name w:val="Заголовок 5 Знак"/>
    <w:link w:val="5"/>
    <w:qFormat/>
    <w:rPr>
      <w:rFonts w:ascii="XO Thames" w:hAnsi="XO Thames"/>
      <w:b/>
      <w:sz w:val="22"/>
    </w:rPr>
  </w:style>
  <w:style w:type="character" w:styleId="12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Style12">
    <w:name w:val="Интернет-ссылка"/>
    <w:link w:val="13"/>
    <w:rPr>
      <w:color w:val="0000FF"/>
      <w:u w:val="single"/>
    </w:rPr>
  </w:style>
  <w:style w:type="character" w:styleId="Footnote" w:customStyle="1">
    <w:name w:val="Footnote"/>
    <w:link w:val="Footnote"/>
    <w:qFormat/>
    <w:rPr>
      <w:rFonts w:ascii="XO Thames" w:hAnsi="XO Thames"/>
      <w:sz w:val="22"/>
    </w:rPr>
  </w:style>
  <w:style w:type="character" w:styleId="Style13" w:customStyle="1">
    <w:name w:val="Текст выноски Знак"/>
    <w:basedOn w:val="11"/>
    <w:link w:val="aa"/>
    <w:qFormat/>
    <w:rPr>
      <w:rFonts w:ascii="Tahoma" w:hAnsi="Tahoma"/>
      <w:sz w:val="16"/>
    </w:rPr>
  </w:style>
  <w:style w:type="character" w:styleId="13" w:customStyle="1">
    <w:name w:val="Оглавление 1 Знак"/>
    <w:link w:val="14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52" w:customStyle="1">
    <w:name w:val="Оглавление 5 Знак"/>
    <w:link w:val="51"/>
    <w:qFormat/>
    <w:rPr>
      <w:rFonts w:ascii="XO Thames" w:hAnsi="XO Thames"/>
      <w:sz w:val="28"/>
    </w:rPr>
  </w:style>
  <w:style w:type="character" w:styleId="Style14" w:customStyle="1">
    <w:name w:val="Верхний колонтитул Знак"/>
    <w:basedOn w:val="11"/>
    <w:link w:val="ac"/>
    <w:qFormat/>
    <w:rPr>
      <w:rFonts w:ascii="Times New Roman" w:hAnsi="Times New Roman"/>
      <w:sz w:val="20"/>
    </w:rPr>
  </w:style>
  <w:style w:type="character" w:styleId="Style15" w:customStyle="1">
    <w:name w:val="Нижний колонтитул Знак"/>
    <w:basedOn w:val="11"/>
    <w:link w:val="ae"/>
    <w:qFormat/>
    <w:rPr>
      <w:rFonts w:ascii="Times New Roman" w:hAnsi="Times New Roman"/>
      <w:sz w:val="20"/>
    </w:rPr>
  </w:style>
  <w:style w:type="character" w:styleId="Style16" w:customStyle="1">
    <w:name w:val="Подзаголовок Знак"/>
    <w:link w:val="af0"/>
    <w:qFormat/>
    <w:rPr>
      <w:rFonts w:ascii="XO Thames" w:hAnsi="XO Thames"/>
      <w:i/>
      <w:sz w:val="24"/>
    </w:rPr>
  </w:style>
  <w:style w:type="character" w:styleId="Style17" w:customStyle="1">
    <w:name w:val="Название Знак"/>
    <w:link w:val="af2"/>
    <w:qFormat/>
    <w:rPr>
      <w:rFonts w:ascii="XO Thames" w:hAnsi="XO Thames"/>
      <w:b/>
      <w:caps/>
      <w:sz w:val="40"/>
    </w:rPr>
  </w:style>
  <w:style w:type="character" w:styleId="42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22" w:customStyle="1">
    <w:name w:val="Заголовок 2 Знак"/>
    <w:link w:val="2"/>
    <w:qFormat/>
    <w:rPr>
      <w:rFonts w:ascii="XO Thames" w:hAnsi="XO Thames"/>
      <w:b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Appleconvertedspace1" w:customStyle="1">
    <w:name w:val="apple-converted-space"/>
    <w:basedOn w:val="14"/>
    <w:link w:val="apple-converted-space0"/>
    <w:qFormat/>
    <w:pPr/>
    <w:rPr/>
  </w:style>
  <w:style w:type="paragraph" w:styleId="23">
    <w:name w:val="TOC 2"/>
    <w:next w:val="Normal"/>
    <w:link w:val="22"/>
    <w:uiPriority w:val="39"/>
    <w:pPr>
      <w:widowControl/>
      <w:suppressAutoHyphens w:val="true"/>
      <w:bidi w:val="0"/>
      <w:spacing w:lineRule="auto" w:line="276" w:before="0" w:after="20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NoSpacing">
    <w:name w:val="No Spacing"/>
    <w:link w:val="a4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43">
    <w:name w:val="TOC 4"/>
    <w:next w:val="Normal"/>
    <w:link w:val="42"/>
    <w:uiPriority w:val="39"/>
    <w:pPr>
      <w:widowControl/>
      <w:suppressAutoHyphens w:val="true"/>
      <w:bidi w:val="0"/>
      <w:spacing w:lineRule="auto" w:line="276" w:before="0" w:after="20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61">
    <w:name w:val="TOC 6"/>
    <w:next w:val="Normal"/>
    <w:link w:val="60"/>
    <w:uiPriority w:val="39"/>
    <w:pPr>
      <w:widowControl/>
      <w:suppressAutoHyphens w:val="true"/>
      <w:bidi w:val="0"/>
      <w:spacing w:lineRule="auto" w:line="276" w:before="0" w:after="20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0"/>
    <w:uiPriority w:val="39"/>
    <w:pPr>
      <w:widowControl/>
      <w:suppressAutoHyphens w:val="true"/>
      <w:bidi w:val="0"/>
      <w:spacing w:lineRule="auto" w:line="276" w:before="0" w:after="20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3">
    <w:name w:val="Body Text Indent"/>
    <w:basedOn w:val="Normal"/>
    <w:link w:val="a6"/>
    <w:pPr>
      <w:spacing w:lineRule="exact" w:line="400"/>
      <w:ind w:firstLine="851"/>
      <w:jc w:val="both"/>
    </w:pPr>
    <w:rPr>
      <w:sz w:val="28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76" w:before="0" w:after="20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link w:val="a8"/>
    <w:qFormat/>
    <w:pPr>
      <w:spacing w:lineRule="auto" w:line="276" w:before="0" w:after="200"/>
      <w:ind w:left="720" w:hanging="0"/>
      <w:contextualSpacing/>
    </w:pPr>
    <w:rPr>
      <w:rFonts w:ascii="Calibri" w:hAnsi="Calibri" w:asciiTheme="minorHAnsi" w:hAnsiTheme="minorHAnsi"/>
      <w:sz w:val="22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" w:customStyle="1">
    <w:name w:val="Гиперссылка1"/>
    <w:link w:val="a9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1" w:customStyle="1">
    <w:name w:val="Footnote"/>
    <w:link w:val="Footnote0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b"/>
    <w:qFormat/>
    <w:pPr/>
    <w:rPr>
      <w:rFonts w:ascii="Tahoma" w:hAnsi="Tahoma"/>
      <w:sz w:val="16"/>
    </w:rPr>
  </w:style>
  <w:style w:type="paragraph" w:styleId="16">
    <w:name w:val="TOC 1"/>
    <w:next w:val="Normal"/>
    <w:link w:val="15"/>
    <w:uiPriority w:val="39"/>
    <w:pPr>
      <w:widowControl/>
      <w:suppressAutoHyphens w:val="true"/>
      <w:bidi w:val="0"/>
      <w:spacing w:lineRule="auto" w:line="276" w:before="0" w:after="20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24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20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91">
    <w:name w:val="TOC 9"/>
    <w:next w:val="Normal"/>
    <w:link w:val="90"/>
    <w:uiPriority w:val="39"/>
    <w:pPr>
      <w:widowControl/>
      <w:suppressAutoHyphens w:val="true"/>
      <w:bidi w:val="0"/>
      <w:spacing w:lineRule="auto" w:line="276" w:before="0" w:after="20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0"/>
    <w:uiPriority w:val="39"/>
    <w:pPr>
      <w:widowControl/>
      <w:suppressAutoHyphens w:val="true"/>
      <w:bidi w:val="0"/>
      <w:spacing w:lineRule="auto" w:line="276" w:before="0" w:after="20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76" w:before="0" w:after="20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5">
    <w:name w:val="Header"/>
    <w:basedOn w:val="Normal"/>
    <w:link w:val="a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Subtitle"/>
    <w:next w:val="Normal"/>
    <w:link w:val="af1"/>
    <w:uiPriority w:val="11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8">
    <w:name w:val="Title"/>
    <w:next w:val="Normal"/>
    <w:link w:val="af3"/>
    <w:uiPriority w:val="10"/>
    <w:qFormat/>
    <w:pPr>
      <w:widowControl/>
      <w:suppressAutoHyphens w:val="true"/>
      <w:bidi w:val="0"/>
      <w:spacing w:lineRule="auto" w:line="276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468BB-D470-48FA-9E48-4A49615B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Application>LibreOffice/6.4.5.2$Windows_x86 LibreOffice_project/a726b36747cf2001e06b58ad5db1aa3a9a1872d6</Application>
  <Pages>3</Pages>
  <Words>682</Words>
  <Characters>4836</Characters>
  <CharactersWithSpaces>5514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2025-04-08T15:29:00Z</dcterms:created>
  <dc:creator/>
  <dc:description/>
  <dc:language>ru-RU</dc:language>
  <cp:lastModifiedBy/>
  <cp:lastPrinted>2025-04-14T06:29:00Z</cp:lastPrinted>
  <dcterms:modified xsi:type="dcterms:W3CDTF">2025-07-16T15:55:08Z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